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E4646">
      <w:pPr>
        <w:rPr>
          <w:rFonts w:ascii="Cambria" w:hAnsi="Cambria"/>
        </w:rPr>
      </w:pPr>
    </w:p>
    <w:p w14:paraId="45DABDDA">
      <w:pPr>
        <w:jc w:val="center"/>
        <w:rPr>
          <w:rFonts w:ascii="Cambria" w:hAnsi="Cambria"/>
          <w:b/>
          <w:bCs/>
        </w:rPr>
      </w:pPr>
      <w:r>
        <w:rPr>
          <w:rFonts w:ascii="Cambria" w:hAnsi="Cambria"/>
          <w:b/>
          <w:bCs/>
        </w:rPr>
        <w:t>FIŞA DISCIPLINEI</w:t>
      </w:r>
    </w:p>
    <w:p w14:paraId="73B2268A">
      <w:pPr>
        <w:jc w:val="center"/>
        <w:rPr>
          <w:rFonts w:ascii="Cambria" w:hAnsi="Cambria"/>
          <w:i w:val="0"/>
          <w:iCs w:val="0"/>
          <w:color w:val="auto"/>
        </w:rPr>
      </w:pPr>
      <w:r>
        <w:rPr>
          <w:rFonts w:hint="default" w:ascii="Cambria" w:hAnsi="Cambria"/>
          <w:i w:val="0"/>
          <w:iCs w:val="0"/>
          <w:color w:val="auto"/>
          <w:lang w:val="ro-RO"/>
        </w:rPr>
        <w:t>Regie de teatru (1)</w:t>
      </w:r>
    </w:p>
    <w:p w14:paraId="147D6DE1">
      <w:pPr>
        <w:jc w:val="center"/>
        <w:rPr>
          <w:rFonts w:hint="default" w:ascii="Cambria" w:hAnsi="Cambria"/>
          <w:lang w:val="ro-RO"/>
        </w:rPr>
      </w:pPr>
      <w:r>
        <w:rPr>
          <w:rFonts w:ascii="Cambria" w:hAnsi="Cambria"/>
        </w:rPr>
        <w:t xml:space="preserve">Anul universitar </w:t>
      </w:r>
      <w:r>
        <w:rPr>
          <w:rFonts w:hint="default" w:ascii="Cambria" w:hAnsi="Cambria"/>
          <w:lang w:val="ro-RO"/>
        </w:rPr>
        <w:t>2025-2026</w:t>
      </w:r>
    </w:p>
    <w:p w14:paraId="28DAEF12">
      <w:pPr>
        <w:rPr>
          <w:rFonts w:ascii="Cambria" w:hAnsi="Cambria"/>
          <w:color w:val="FF0000"/>
          <w:sz w:val="20"/>
          <w:szCs w:val="20"/>
        </w:rPr>
      </w:pPr>
    </w:p>
    <w:p w14:paraId="6FE23610">
      <w:pPr>
        <w:spacing w:after="0"/>
        <w:ind w:left="142" w:hanging="567"/>
        <w:rPr>
          <w:rFonts w:ascii="Cambria" w:hAnsi="Cambria"/>
          <w:b/>
          <w:sz w:val="20"/>
          <w:szCs w:val="20"/>
        </w:rPr>
      </w:pPr>
      <w:r>
        <w:rPr>
          <w:rFonts w:ascii="Cambria" w:hAnsi="Cambria"/>
          <w:b/>
          <w:sz w:val="20"/>
          <w:szCs w:val="20"/>
        </w:rPr>
        <w:t>1. Date despre program</w:t>
      </w:r>
    </w:p>
    <w:tbl>
      <w:tblPr>
        <w:tblStyle w:val="12"/>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3"/>
        <w:gridCol w:w="7088"/>
      </w:tblGrid>
      <w:tr w14:paraId="36E5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BABABB2">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1.1. Instituția de învățământ superior</w:t>
            </w:r>
          </w:p>
        </w:tc>
        <w:tc>
          <w:tcPr>
            <w:tcW w:w="7088" w:type="dxa"/>
            <w:shd w:val="clear" w:color="auto" w:fill="auto"/>
            <w:vAlign w:val="center"/>
          </w:tcPr>
          <w:p w14:paraId="33E6C37A">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Universitatea Babeș-Balyai</w:t>
            </w:r>
          </w:p>
        </w:tc>
      </w:tr>
      <w:tr w14:paraId="3375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2C64104C">
            <w:pPr>
              <w:keepNext/>
              <w:suppressAutoHyphens/>
              <w:spacing w:after="0" w:line="240" w:lineRule="auto"/>
              <w:ind w:left="34"/>
              <w:outlineLvl w:val="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1.2. Facultatea</w:t>
            </w:r>
          </w:p>
        </w:tc>
        <w:tc>
          <w:tcPr>
            <w:tcW w:w="7088" w:type="dxa"/>
            <w:shd w:val="clear" w:color="auto" w:fill="auto"/>
            <w:vAlign w:val="center"/>
          </w:tcPr>
          <w:p w14:paraId="15D1FA1F">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Facultatea de Teatru și Film</w:t>
            </w:r>
          </w:p>
        </w:tc>
      </w:tr>
      <w:tr w14:paraId="7601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30854B61">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1.3. Departamentul</w:t>
            </w:r>
          </w:p>
        </w:tc>
        <w:tc>
          <w:tcPr>
            <w:tcW w:w="7088" w:type="dxa"/>
            <w:shd w:val="clear" w:color="auto" w:fill="auto"/>
            <w:vAlign w:val="center"/>
          </w:tcPr>
          <w:p w14:paraId="04A98289">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Departamentul de Teatru</w:t>
            </w:r>
          </w:p>
        </w:tc>
      </w:tr>
      <w:tr w14:paraId="7505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32CD6E9C">
            <w:pPr>
              <w:suppressAutoHyphens/>
              <w:spacing w:after="0" w:line="240" w:lineRule="auto"/>
              <w:ind w:left="3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1.4.</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Domeniul de studii</w:t>
            </w:r>
          </w:p>
        </w:tc>
        <w:tc>
          <w:tcPr>
            <w:tcW w:w="7088" w:type="dxa"/>
            <w:shd w:val="clear" w:color="auto" w:fill="auto"/>
            <w:vAlign w:val="center"/>
          </w:tcPr>
          <w:p w14:paraId="0E1920A1">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Teatru și Artele spectacolului</w:t>
            </w:r>
          </w:p>
        </w:tc>
      </w:tr>
      <w:tr w14:paraId="621A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ED9A9E8">
            <w:pPr>
              <w:suppressAutoHyphens/>
              <w:spacing w:after="0" w:line="240" w:lineRule="auto"/>
              <w:ind w:left="34"/>
              <w:rPr>
                <w:rFonts w:ascii="Cambria" w:hAnsi="Cambria" w:eastAsia="Times New Roman" w:cs="Times New Roman"/>
                <w:kern w:val="0"/>
                <w:sz w:val="20"/>
                <w:szCs w:val="22"/>
                <w:vertAlign w:val="superscript"/>
                <w:lang w:eastAsia="zh-CN"/>
                <w14:ligatures w14:val="none"/>
              </w:rPr>
            </w:pPr>
            <w:r>
              <w:rPr>
                <w:rFonts w:ascii="Cambria" w:hAnsi="Cambria" w:eastAsia="Times New Roman" w:cs="Times New Roman"/>
                <w:kern w:val="0"/>
                <w:sz w:val="20"/>
                <w:szCs w:val="22"/>
                <w:lang w:eastAsia="zh-CN"/>
                <w14:ligatures w14:val="none"/>
              </w:rPr>
              <w:t>1.5.</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Ciclul de studii</w:t>
            </w:r>
          </w:p>
        </w:tc>
        <w:tc>
          <w:tcPr>
            <w:tcW w:w="7088" w:type="dxa"/>
            <w:shd w:val="clear" w:color="auto" w:fill="auto"/>
            <w:vAlign w:val="center"/>
          </w:tcPr>
          <w:p w14:paraId="2F581B40">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Licență</w:t>
            </w:r>
          </w:p>
        </w:tc>
      </w:tr>
      <w:tr w14:paraId="656B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1FF1F3E1">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1.6. Programul de studii / Calificarea</w:t>
            </w:r>
          </w:p>
        </w:tc>
        <w:tc>
          <w:tcPr>
            <w:tcW w:w="7088" w:type="dxa"/>
            <w:shd w:val="clear" w:color="auto" w:fill="auto"/>
            <w:vAlign w:val="center"/>
          </w:tcPr>
          <w:p w14:paraId="2025CE64">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Artele spectacolului (Regie)</w:t>
            </w:r>
          </w:p>
        </w:tc>
      </w:tr>
      <w:tr w14:paraId="506B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9749BF2">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1.7. Forma de învățământ</w:t>
            </w:r>
          </w:p>
        </w:tc>
        <w:tc>
          <w:tcPr>
            <w:tcW w:w="7088" w:type="dxa"/>
            <w:shd w:val="clear" w:color="auto" w:fill="auto"/>
            <w:vAlign w:val="center"/>
          </w:tcPr>
          <w:p w14:paraId="398F7AEA">
            <w:pPr>
              <w:keepNext/>
              <w:suppressAutoHyphens/>
              <w:spacing w:after="0" w:line="240" w:lineRule="auto"/>
              <w:ind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Învățământ cu frecvență</w:t>
            </w:r>
          </w:p>
        </w:tc>
      </w:tr>
    </w:tbl>
    <w:p w14:paraId="0D26016B">
      <w:pPr>
        <w:spacing w:after="0"/>
        <w:rPr>
          <w:rFonts w:ascii="Cambria" w:hAnsi="Cambria"/>
          <w:b/>
          <w:sz w:val="20"/>
          <w:szCs w:val="20"/>
        </w:rPr>
      </w:pPr>
    </w:p>
    <w:p w14:paraId="101334E7">
      <w:pPr>
        <w:spacing w:after="0"/>
        <w:ind w:left="142" w:hanging="567"/>
        <w:rPr>
          <w:rFonts w:ascii="Cambria" w:hAnsi="Cambria"/>
          <w:b/>
          <w:sz w:val="20"/>
          <w:szCs w:val="20"/>
        </w:rPr>
      </w:pPr>
      <w:r>
        <w:rPr>
          <w:rFonts w:ascii="Cambria" w:hAnsi="Cambria"/>
          <w:b/>
          <w:sz w:val="20"/>
          <w:szCs w:val="20"/>
        </w:rPr>
        <w:t>2. Date despre disciplină</w:t>
      </w:r>
    </w:p>
    <w:tbl>
      <w:tblPr>
        <w:tblStyle w:val="12"/>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567"/>
        <w:gridCol w:w="142"/>
        <w:gridCol w:w="850"/>
        <w:gridCol w:w="425"/>
        <w:gridCol w:w="567"/>
        <w:gridCol w:w="1701"/>
        <w:gridCol w:w="567"/>
        <w:gridCol w:w="567"/>
        <w:gridCol w:w="1701"/>
        <w:gridCol w:w="1560"/>
      </w:tblGrid>
      <w:tr w14:paraId="3E2C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577" w:type="dxa"/>
            <w:gridSpan w:val="3"/>
            <w:vAlign w:val="center"/>
          </w:tcPr>
          <w:p w14:paraId="54A19AC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2.1. Denumirea disciplinei</w:t>
            </w:r>
          </w:p>
        </w:tc>
        <w:tc>
          <w:tcPr>
            <w:tcW w:w="4677" w:type="dxa"/>
            <w:gridSpan w:val="6"/>
            <w:vAlign w:val="center"/>
          </w:tcPr>
          <w:p w14:paraId="56BB9F54">
            <w:pPr>
              <w:suppressAutoHyphens/>
              <w:spacing w:after="0" w:line="240" w:lineRule="auto"/>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Regie de teatru (1)</w:t>
            </w:r>
          </w:p>
        </w:tc>
        <w:tc>
          <w:tcPr>
            <w:tcW w:w="1701" w:type="dxa"/>
            <w:vAlign w:val="center"/>
          </w:tcPr>
          <w:p w14:paraId="76DC4DF3">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Codul disciplinei</w:t>
            </w:r>
          </w:p>
        </w:tc>
        <w:tc>
          <w:tcPr>
            <w:tcW w:w="1560" w:type="dxa"/>
            <w:vAlign w:val="center"/>
          </w:tcPr>
          <w:p w14:paraId="7CA76DD1">
            <w:pPr>
              <w:suppressAutoHyphens/>
              <w:spacing w:after="0" w:line="240" w:lineRule="auto"/>
              <w:rPr>
                <w:rFonts w:ascii="Cambria" w:hAnsi="Cambria" w:eastAsia="Times New Roman" w:cs="Times New Roman"/>
                <w:b/>
                <w:sz w:val="20"/>
                <w:lang w:eastAsia="zh-CN"/>
              </w:rPr>
            </w:pPr>
            <w:r>
              <w:rPr>
                <w:rFonts w:hint="default" w:ascii="Cambria" w:hAnsi="Cambria" w:eastAsia="Times New Roman"/>
                <w:b/>
                <w:sz w:val="20"/>
                <w:lang w:eastAsia="zh-CN"/>
              </w:rPr>
              <w:t>VLR2816</w:t>
            </w:r>
          </w:p>
        </w:tc>
      </w:tr>
      <w:tr w14:paraId="7729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vAlign w:val="center"/>
          </w:tcPr>
          <w:p w14:paraId="5B706C4E">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2.2. Titularul activităților de curs </w:t>
            </w:r>
          </w:p>
        </w:tc>
        <w:tc>
          <w:tcPr>
            <w:tcW w:w="7088" w:type="dxa"/>
            <w:gridSpan w:val="7"/>
            <w:vAlign w:val="center"/>
          </w:tcPr>
          <w:p w14:paraId="02F7CAC0">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Gabriel Pricop</w:t>
            </w:r>
          </w:p>
        </w:tc>
      </w:tr>
      <w:tr w14:paraId="6941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tcBorders>
              <w:bottom w:val="single" w:color="auto" w:sz="4" w:space="0"/>
            </w:tcBorders>
            <w:vAlign w:val="center"/>
          </w:tcPr>
          <w:p w14:paraId="1B089A8B">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2.3. Titularul activităților de seminar </w:t>
            </w:r>
          </w:p>
        </w:tc>
        <w:tc>
          <w:tcPr>
            <w:tcW w:w="7088" w:type="dxa"/>
            <w:gridSpan w:val="7"/>
            <w:tcBorders>
              <w:bottom w:val="single" w:color="auto" w:sz="4" w:space="0"/>
            </w:tcBorders>
            <w:vAlign w:val="center"/>
          </w:tcPr>
          <w:p w14:paraId="341D75ED">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Mihai Gligan</w:t>
            </w:r>
          </w:p>
        </w:tc>
      </w:tr>
      <w:tr w14:paraId="5663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68" w:type="dxa"/>
            <w:tcBorders>
              <w:top w:val="single" w:color="auto" w:sz="4" w:space="0"/>
              <w:left w:val="single" w:color="auto" w:sz="4" w:space="0"/>
              <w:bottom w:val="single" w:color="auto" w:sz="4" w:space="0"/>
              <w:right w:val="single" w:color="auto" w:sz="4" w:space="0"/>
            </w:tcBorders>
            <w:vAlign w:val="center"/>
          </w:tcPr>
          <w:p w14:paraId="1EF2D049">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14:paraId="642D3A83">
            <w:pPr>
              <w:suppressAutoHyphens/>
              <w:spacing w:after="0" w:line="240" w:lineRule="auto"/>
              <w:jc w:val="center"/>
              <w:rPr>
                <w:rFonts w:hint="default" w:ascii="Cambria" w:hAnsi="Cambria" w:eastAsia="Times New Roman" w:cs="Times New Roman"/>
                <w:color w:val="FF0000"/>
                <w:sz w:val="20"/>
                <w:lang w:val="ro-RO" w:eastAsia="zh-CN"/>
              </w:rPr>
            </w:pPr>
            <w:r>
              <w:rPr>
                <w:rFonts w:hint="default" w:ascii="Cambria" w:hAnsi="Cambria" w:eastAsia="Times New Roman" w:cs="Times New Roman"/>
                <w:color w:val="auto"/>
                <w:sz w:val="20"/>
                <w:lang w:val="ro-RO" w:eastAsia="zh-CN"/>
              </w:rPr>
              <w:t>I</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362AA40F">
            <w:pPr>
              <w:suppressAutoHyphens/>
              <w:spacing w:after="0" w:line="240" w:lineRule="auto"/>
              <w:ind w:right="-203"/>
              <w:rPr>
                <w:rFonts w:ascii="Cambria" w:hAnsi="Cambria" w:eastAsia="Times New Roman" w:cs="Times New Roman"/>
                <w:sz w:val="20"/>
                <w:lang w:eastAsia="zh-CN"/>
              </w:rPr>
            </w:pPr>
            <w:r>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14:paraId="1CE49F94">
            <w:pPr>
              <w:suppressAutoHyphens/>
              <w:spacing w:after="0" w:line="240" w:lineRule="auto"/>
              <w:jc w:val="center"/>
              <w:rPr>
                <w:rFonts w:hint="default" w:ascii="Cambria" w:hAnsi="Cambria" w:eastAsia="Times New Roman" w:cs="Times New Roman"/>
                <w:color w:val="FF0000"/>
                <w:sz w:val="20"/>
                <w:lang w:val="ro-RO" w:eastAsia="zh-CN"/>
              </w:rPr>
            </w:pPr>
            <w:r>
              <w:rPr>
                <w:rFonts w:hint="default" w:ascii="Cambria" w:hAnsi="Cambria" w:eastAsia="Times New Roman" w:cs="Times New Roman"/>
                <w:color w:val="auto"/>
                <w:sz w:val="20"/>
                <w:lang w:val="ro-RO" w:eastAsia="zh-CN"/>
              </w:rPr>
              <w:t>2</w:t>
            </w:r>
          </w:p>
        </w:tc>
        <w:tc>
          <w:tcPr>
            <w:tcW w:w="1701" w:type="dxa"/>
            <w:tcBorders>
              <w:top w:val="single" w:color="auto" w:sz="4" w:space="0"/>
              <w:left w:val="single" w:color="auto" w:sz="4" w:space="0"/>
              <w:bottom w:val="single" w:color="auto" w:sz="4" w:space="0"/>
              <w:right w:val="single" w:color="auto" w:sz="4" w:space="0"/>
            </w:tcBorders>
            <w:vAlign w:val="center"/>
          </w:tcPr>
          <w:p w14:paraId="09CAB93A">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 xml:space="preserve">2.6. Tipul </w:t>
            </w:r>
          </w:p>
          <w:p w14:paraId="41308BFC">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14:paraId="7E7718F0">
            <w:pPr>
              <w:suppressAutoHyphens/>
              <w:spacing w:after="0" w:line="240" w:lineRule="auto"/>
              <w:jc w:val="center"/>
              <w:rPr>
                <w:rFonts w:ascii="Cambria" w:hAnsi="Cambria" w:eastAsia="Times New Roman" w:cs="Times New Roman"/>
                <w:color w:val="FF0000"/>
                <w:sz w:val="20"/>
                <w:lang w:eastAsia="zh-CN"/>
              </w:rPr>
            </w:pPr>
            <w:r>
              <w:rPr>
                <w:rFonts w:ascii="Cambria" w:hAnsi="Cambria" w:eastAsia="Times New Roman" w:cs="Times New Roman"/>
                <w:b w:val="0"/>
                <w:bCs w:val="0"/>
                <w:color w:val="auto"/>
                <w:sz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3A049996">
            <w:pPr>
              <w:suppressAutoHyphens/>
              <w:spacing w:after="0" w:line="240" w:lineRule="auto"/>
              <w:rPr>
                <w:rFonts w:ascii="Cambria" w:hAnsi="Cambria" w:eastAsia="Times New Roman" w:cs="Times New Roman"/>
                <w:sz w:val="20"/>
                <w:vertAlign w:val="superscript"/>
                <w:lang w:eastAsia="zh-CN"/>
              </w:rPr>
            </w:pPr>
            <w:r>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vAlign w:val="center"/>
          </w:tcPr>
          <w:p w14:paraId="20F79D8D">
            <w:pPr>
              <w:suppressAutoHyphens/>
              <w:spacing w:after="0" w:line="240" w:lineRule="auto"/>
              <w:rPr>
                <w:rFonts w:hint="default" w:ascii="Cambria" w:hAnsi="Cambria" w:eastAsia="Times New Roman" w:cs="Times New Roman"/>
                <w:sz w:val="18"/>
                <w:lang w:val="ro-RO" w:eastAsia="zh-CN"/>
              </w:rPr>
            </w:pPr>
            <w:r>
              <w:rPr>
                <w:rFonts w:hint="default" w:ascii="Cambria" w:hAnsi="Cambria" w:eastAsia="Times New Roman" w:cs="Times New Roman"/>
                <w:sz w:val="18"/>
                <w:lang w:val="ro-RO" w:eastAsia="zh-CN"/>
              </w:rPr>
              <w:t>Ob</w:t>
            </w:r>
          </w:p>
        </w:tc>
      </w:tr>
    </w:tbl>
    <w:p w14:paraId="6E504759">
      <w:pPr>
        <w:suppressAutoHyphens/>
        <w:spacing w:after="0"/>
        <w:ind w:right="-765" w:firstLine="720"/>
        <w:rPr>
          <w:rFonts w:ascii="Cambria" w:hAnsi="Cambria"/>
          <w:sz w:val="20"/>
          <w:szCs w:val="20"/>
        </w:rPr>
      </w:pPr>
    </w:p>
    <w:p w14:paraId="59DB4156">
      <w:pPr>
        <w:suppressAutoHyphens/>
        <w:spacing w:after="0" w:line="240" w:lineRule="auto"/>
        <w:ind w:right="-766" w:hanging="426"/>
        <w:rPr>
          <w:rFonts w:ascii="Cambria" w:hAnsi="Cambria" w:eastAsia="Times New Roman" w:cs="Times New Roman"/>
          <w:sz w:val="20"/>
          <w:lang w:eastAsia="zh-CN"/>
        </w:rPr>
      </w:pPr>
      <w:r>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activităților didactice)</w:t>
      </w:r>
    </w:p>
    <w:tbl>
      <w:tblPr>
        <w:tblStyle w:val="12"/>
        <w:tblpPr w:leftFromText="180" w:rightFromText="180" w:vertAnchor="text" w:tblpX="-408"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851"/>
        <w:gridCol w:w="1842"/>
        <w:gridCol w:w="284"/>
        <w:gridCol w:w="425"/>
        <w:gridCol w:w="2977"/>
        <w:gridCol w:w="567"/>
      </w:tblGrid>
      <w:tr w14:paraId="4BEA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tcBorders>
              <w:bottom w:val="single" w:color="auto" w:sz="4" w:space="0"/>
            </w:tcBorders>
            <w:vAlign w:val="center"/>
          </w:tcPr>
          <w:p w14:paraId="4ED6BC3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3.1. Număr de ore pe săptămână </w:t>
            </w:r>
          </w:p>
        </w:tc>
        <w:tc>
          <w:tcPr>
            <w:tcW w:w="851" w:type="dxa"/>
            <w:tcBorders>
              <w:bottom w:val="single" w:color="auto" w:sz="4" w:space="0"/>
            </w:tcBorders>
            <w:vAlign w:val="center"/>
          </w:tcPr>
          <w:p w14:paraId="1F001A6C">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6</w:t>
            </w:r>
          </w:p>
        </w:tc>
        <w:tc>
          <w:tcPr>
            <w:tcW w:w="1842" w:type="dxa"/>
            <w:tcBorders>
              <w:bottom w:val="single" w:color="auto" w:sz="4" w:space="0"/>
            </w:tcBorders>
            <w:vAlign w:val="center"/>
          </w:tcPr>
          <w:p w14:paraId="620265CB">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14:paraId="1107FE4E">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2</w:t>
            </w:r>
          </w:p>
        </w:tc>
        <w:tc>
          <w:tcPr>
            <w:tcW w:w="2977" w:type="dxa"/>
            <w:tcBorders>
              <w:bottom w:val="single" w:color="auto" w:sz="4" w:space="0"/>
            </w:tcBorders>
            <w:vAlign w:val="center"/>
          </w:tcPr>
          <w:p w14:paraId="7D50816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3.3. seminar/ laborator/ proiect</w:t>
            </w:r>
          </w:p>
        </w:tc>
        <w:tc>
          <w:tcPr>
            <w:tcW w:w="567" w:type="dxa"/>
            <w:tcBorders>
              <w:bottom w:val="single" w:color="auto" w:sz="4" w:space="0"/>
            </w:tcBorders>
            <w:shd w:val="clear" w:color="auto" w:fill="auto"/>
            <w:vAlign w:val="center"/>
          </w:tcPr>
          <w:p w14:paraId="1481A02B">
            <w:pPr>
              <w:suppressLineNumbers w:val="0"/>
              <w:bidi w:val="0"/>
              <w:spacing w:before="0" w:beforeAutospacing="0" w:after="0" w:afterAutospacing="0" w:line="240" w:lineRule="auto"/>
              <w:ind w:left="0" w:right="0"/>
              <w:jc w:val="center"/>
            </w:pPr>
            <w:r>
              <w:rPr>
                <w:rFonts w:ascii="Cambria" w:hAnsi="Cambria" w:eastAsia="Times New Roman" w:cs="Times New Roman"/>
                <w:b/>
                <w:bCs/>
                <w:sz w:val="20"/>
                <w:szCs w:val="20"/>
                <w:lang w:eastAsia="zh-CN"/>
              </w:rPr>
              <w:t>4</w:t>
            </w:r>
          </w:p>
        </w:tc>
      </w:tr>
      <w:tr w14:paraId="4ED6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shd w:val="clear" w:color="auto" w:fill="auto"/>
            <w:vAlign w:val="center"/>
          </w:tcPr>
          <w:p w14:paraId="77410C8B">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3.4. Total ore din planul de învățământ</w:t>
            </w:r>
          </w:p>
        </w:tc>
        <w:tc>
          <w:tcPr>
            <w:tcW w:w="851" w:type="dxa"/>
            <w:shd w:val="clear" w:color="auto" w:fill="auto"/>
            <w:vAlign w:val="center"/>
          </w:tcPr>
          <w:p w14:paraId="158B1893">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84</w:t>
            </w:r>
          </w:p>
        </w:tc>
        <w:tc>
          <w:tcPr>
            <w:tcW w:w="1842" w:type="dxa"/>
            <w:shd w:val="clear" w:color="auto" w:fill="auto"/>
            <w:vAlign w:val="center"/>
          </w:tcPr>
          <w:p w14:paraId="23109F7F">
            <w:pPr>
              <w:suppressAutoHyphens/>
              <w:spacing w:after="0" w:line="240" w:lineRule="auto"/>
              <w:rPr>
                <w:rFonts w:ascii="Cambria" w:hAnsi="Cambria" w:eastAsia="Times New Roman" w:cs="Times New Roman"/>
                <w:color w:val="FF0000"/>
                <w:sz w:val="20"/>
                <w:lang w:eastAsia="zh-CN"/>
              </w:rPr>
            </w:pPr>
            <w:r>
              <w:rPr>
                <w:rFonts w:ascii="Cambria" w:hAnsi="Cambria" w:eastAsia="Times New Roman" w:cs="Times New Roman"/>
                <w:bCs/>
                <w:sz w:val="20"/>
                <w:lang w:eastAsia="zh-CN"/>
              </w:rPr>
              <w:t>din care: 3.5.</w:t>
            </w:r>
            <w:r>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Pr>
                <w:rFonts w:ascii="Cambria" w:hAnsi="Cambria" w:eastAsia="Times New Roman" w:cs="Times New Roman"/>
                <w:color w:val="FF0000"/>
                <w:sz w:val="20"/>
                <w:lang w:eastAsia="zh-CN"/>
              </w:rPr>
              <w:t xml:space="preserve"> </w:t>
            </w:r>
          </w:p>
        </w:tc>
        <w:tc>
          <w:tcPr>
            <w:tcW w:w="709" w:type="dxa"/>
            <w:gridSpan w:val="2"/>
            <w:vAlign w:val="center"/>
          </w:tcPr>
          <w:p w14:paraId="4FC38FB2">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28</w:t>
            </w:r>
          </w:p>
        </w:tc>
        <w:tc>
          <w:tcPr>
            <w:tcW w:w="2977" w:type="dxa"/>
            <w:vAlign w:val="center"/>
          </w:tcPr>
          <w:p w14:paraId="283FA802">
            <w:pPr>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3.6 seminar/laborator</w:t>
            </w:r>
          </w:p>
        </w:tc>
        <w:tc>
          <w:tcPr>
            <w:tcW w:w="567" w:type="dxa"/>
            <w:shd w:val="clear" w:color="auto" w:fill="auto"/>
            <w:vAlign w:val="center"/>
          </w:tcPr>
          <w:p w14:paraId="2D1D0F06">
            <w:pPr>
              <w:keepNext/>
              <w:suppressAutoHyphens/>
              <w:spacing w:after="0" w:line="240" w:lineRule="auto"/>
              <w:jc w:val="center"/>
              <w:outlineLvl w:val="1"/>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56</w:t>
            </w:r>
          </w:p>
        </w:tc>
      </w:tr>
      <w:tr w14:paraId="76F4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5238711">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Distribuția fondului de timp pentru studiul individual (SI) și activități de autoinstruire (AI)</w:t>
            </w:r>
          </w:p>
        </w:tc>
        <w:tc>
          <w:tcPr>
            <w:tcW w:w="567" w:type="dxa"/>
            <w:shd w:val="clear" w:color="auto" w:fill="auto"/>
            <w:vAlign w:val="center"/>
          </w:tcPr>
          <w:p w14:paraId="7F017BBA">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ore</w:t>
            </w:r>
          </w:p>
        </w:tc>
      </w:tr>
      <w:tr w14:paraId="099B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DB76375">
            <w:pPr>
              <w:suppressAutoHyphens/>
              <w:spacing w:after="0" w:line="240" w:lineRule="auto"/>
              <w:rPr>
                <w:rFonts w:ascii="Cambria" w:hAnsi="Cambria" w:eastAsia="Times New Roman" w:cs="Times New Roman"/>
                <w:b/>
                <w:sz w:val="20"/>
                <w:lang w:val="fr-FR" w:eastAsia="zh-CN"/>
              </w:rPr>
            </w:pPr>
            <w:r>
              <w:rPr>
                <w:rFonts w:ascii="Cambria" w:hAnsi="Cambria" w:eastAsia="Times New Roman" w:cs="Times New Roman"/>
                <w:sz w:val="20"/>
                <w:lang w:val="fr-FR" w:eastAsia="zh-CN"/>
              </w:rPr>
              <w:t>Studiul după manual, suport de curs, bibliografie și notițe (AI)</w:t>
            </w:r>
          </w:p>
        </w:tc>
        <w:tc>
          <w:tcPr>
            <w:tcW w:w="567" w:type="dxa"/>
            <w:shd w:val="clear" w:color="auto" w:fill="auto"/>
            <w:vAlign w:val="center"/>
          </w:tcPr>
          <w:p w14:paraId="1F6F3D9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18</w:t>
            </w:r>
          </w:p>
        </w:tc>
      </w:tr>
      <w:tr w14:paraId="19B7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381A9F6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Documentare suplimentară în bibliotecă, pe platformele electronice de specialitate și pe teren</w:t>
            </w:r>
          </w:p>
        </w:tc>
        <w:tc>
          <w:tcPr>
            <w:tcW w:w="567" w:type="dxa"/>
            <w:shd w:val="clear" w:color="auto" w:fill="auto"/>
            <w:vAlign w:val="center"/>
          </w:tcPr>
          <w:p w14:paraId="7062CF4B">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14</w:t>
            </w:r>
          </w:p>
        </w:tc>
      </w:tr>
      <w:tr w14:paraId="0043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1982B">
            <w:pPr>
              <w:keepNext/>
              <w:suppressAutoHyphens/>
              <w:spacing w:after="0" w:line="240" w:lineRule="auto"/>
              <w:outlineLvl w:val="1"/>
              <w:rPr>
                <w:rFonts w:ascii="Cambria" w:hAnsi="Cambria" w:eastAsia="Times New Roman" w:cs="Times New Roman"/>
                <w:color w:val="FF0000"/>
                <w:sz w:val="20"/>
                <w:lang w:eastAsia="zh-CN"/>
              </w:rPr>
            </w:pPr>
            <w:r>
              <w:rPr>
                <w:rFonts w:ascii="Cambria" w:hAnsi="Cambria" w:eastAsia="Times New Roman" w:cs="Times New Roman"/>
                <w:sz w:val="20"/>
                <w:lang w:eastAsia="zh-CN"/>
              </w:rPr>
              <w:t xml:space="preserve">Pregătire seminare/ laboratoare/ proiecte, teme, referate, portofolii și eseuri </w:t>
            </w:r>
          </w:p>
        </w:tc>
        <w:tc>
          <w:tcPr>
            <w:tcW w:w="567" w:type="dxa"/>
            <w:shd w:val="clear" w:color="auto" w:fill="auto"/>
            <w:vAlign w:val="center"/>
          </w:tcPr>
          <w:p w14:paraId="5D07688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30</w:t>
            </w:r>
          </w:p>
        </w:tc>
      </w:tr>
      <w:tr w14:paraId="078D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463C7">
            <w:pPr>
              <w:keepNext/>
              <w:suppressAutoHyphens/>
              <w:spacing w:after="0" w:line="240" w:lineRule="auto"/>
              <w:outlineLvl w:val="1"/>
              <w:rPr>
                <w:rFonts w:ascii="Cambria" w:hAnsi="Cambria" w:eastAsia="Times New Roman" w:cs="Times New Roman"/>
                <w:sz w:val="20"/>
                <w:lang w:val="en-GB" w:eastAsia="zh-CN"/>
              </w:rPr>
            </w:pPr>
            <w:r>
              <w:rPr>
                <w:rFonts w:ascii="Cambria" w:hAnsi="Cambria" w:eastAsia="Times New Roman" w:cs="Times New Roman"/>
                <w:sz w:val="20"/>
                <w:lang w:eastAsia="zh-CN"/>
              </w:rPr>
              <w:t>Tutoriat (consiliere profesională)</w:t>
            </w:r>
          </w:p>
        </w:tc>
        <w:tc>
          <w:tcPr>
            <w:tcW w:w="567" w:type="dxa"/>
            <w:shd w:val="clear" w:color="auto" w:fill="auto"/>
            <w:vAlign w:val="center"/>
          </w:tcPr>
          <w:p w14:paraId="4844841D">
            <w:pPr>
              <w:keepNext/>
              <w:suppressAutoHyphens/>
              <w:spacing w:after="0" w:line="240" w:lineRule="auto"/>
              <w:jc w:val="center"/>
              <w:outlineLvl w:val="1"/>
              <w:rPr>
                <w:rFonts w:ascii="Cambria" w:hAnsi="Cambria" w:eastAsia="Times New Roman" w:cs="Times New Roman"/>
                <w:sz w:val="20"/>
                <w:lang w:eastAsia="zh-CN"/>
              </w:rPr>
            </w:pPr>
          </w:p>
        </w:tc>
      </w:tr>
      <w:tr w14:paraId="2460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CCF650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Examinări </w:t>
            </w:r>
          </w:p>
        </w:tc>
        <w:tc>
          <w:tcPr>
            <w:tcW w:w="567" w:type="dxa"/>
            <w:shd w:val="clear" w:color="auto" w:fill="auto"/>
            <w:vAlign w:val="center"/>
          </w:tcPr>
          <w:p w14:paraId="4B62B253">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4</w:t>
            </w:r>
          </w:p>
        </w:tc>
      </w:tr>
      <w:tr w14:paraId="651F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311471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Alte activităţi </w:t>
            </w:r>
          </w:p>
        </w:tc>
        <w:tc>
          <w:tcPr>
            <w:tcW w:w="567" w:type="dxa"/>
            <w:shd w:val="clear" w:color="auto" w:fill="auto"/>
            <w:vAlign w:val="center"/>
          </w:tcPr>
          <w:p w14:paraId="18E004A9">
            <w:pPr>
              <w:keepNext/>
              <w:suppressAutoHyphens/>
              <w:spacing w:after="0" w:line="240" w:lineRule="auto"/>
              <w:jc w:val="center"/>
              <w:outlineLvl w:val="1"/>
              <w:rPr>
                <w:rFonts w:hint="default" w:ascii="Cambria" w:hAnsi="Cambria" w:eastAsia="Times New Roman" w:cs="Times New Roman"/>
                <w:sz w:val="20"/>
                <w:lang w:val="ro-RO" w:eastAsia="zh-CN"/>
              </w:rPr>
            </w:pPr>
          </w:p>
        </w:tc>
      </w:tr>
      <w:tr w14:paraId="51A2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05321DBF">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3.7. Total ore studiu individual (SI) și activități de autoinstruire (AI)</w:t>
            </w:r>
          </w:p>
        </w:tc>
        <w:tc>
          <w:tcPr>
            <w:tcW w:w="3969" w:type="dxa"/>
            <w:gridSpan w:val="3"/>
            <w:shd w:val="clear" w:color="auto" w:fill="auto"/>
            <w:vAlign w:val="center"/>
          </w:tcPr>
          <w:p w14:paraId="6EABD8A3">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66</w:t>
            </w:r>
          </w:p>
        </w:tc>
      </w:tr>
      <w:tr w14:paraId="03E7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48E731BB">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3.8. Total ore pe semestru</w:t>
            </w:r>
          </w:p>
        </w:tc>
        <w:tc>
          <w:tcPr>
            <w:tcW w:w="3969" w:type="dxa"/>
            <w:gridSpan w:val="3"/>
            <w:shd w:val="clear" w:color="auto" w:fill="auto"/>
            <w:vAlign w:val="center"/>
          </w:tcPr>
          <w:p w14:paraId="686BA008">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ascii="Cambria" w:hAnsi="Cambria" w:eastAsia="Times New Roman" w:cs="Times New Roman"/>
                <w:b/>
                <w:bCs/>
                <w:sz w:val="20"/>
                <w:szCs w:val="20"/>
                <w:lang w:eastAsia="zh-CN"/>
              </w:rPr>
              <w:t>1</w:t>
            </w:r>
            <w:r>
              <w:rPr>
                <w:rFonts w:hint="default" w:ascii="Cambria" w:hAnsi="Cambria" w:eastAsia="Times New Roman" w:cs="Times New Roman"/>
                <w:b/>
                <w:bCs/>
                <w:sz w:val="20"/>
                <w:szCs w:val="20"/>
                <w:lang w:val="ro-RO" w:eastAsia="zh-CN"/>
              </w:rPr>
              <w:t>50</w:t>
            </w:r>
          </w:p>
        </w:tc>
      </w:tr>
      <w:tr w14:paraId="29D1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57B1019E">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3.9. Numărul de credite</w:t>
            </w:r>
          </w:p>
        </w:tc>
        <w:tc>
          <w:tcPr>
            <w:tcW w:w="3969" w:type="dxa"/>
            <w:gridSpan w:val="3"/>
            <w:shd w:val="clear" w:color="auto" w:fill="auto"/>
            <w:vAlign w:val="center"/>
          </w:tcPr>
          <w:p w14:paraId="3C97E24A">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6</w:t>
            </w:r>
          </w:p>
        </w:tc>
      </w:tr>
    </w:tbl>
    <w:p w14:paraId="61963589">
      <w:pPr>
        <w:suppressAutoHyphens/>
        <w:spacing w:after="0" w:line="240" w:lineRule="auto"/>
        <w:ind w:left="-284"/>
        <w:jc w:val="both"/>
        <w:rPr>
          <w:rFonts w:ascii="Cambria" w:hAnsi="Cambria" w:eastAsia="Times New Roman" w:cs="Times New Roman"/>
          <w:b/>
          <w:sz w:val="20"/>
          <w:lang w:eastAsia="zh-CN"/>
        </w:rPr>
      </w:pPr>
    </w:p>
    <w:p w14:paraId="7F75857F">
      <w:pPr>
        <w:suppressAutoHyphens/>
        <w:spacing w:after="0" w:line="240" w:lineRule="auto"/>
        <w:ind w:left="-284" w:hanging="142"/>
        <w:jc w:val="both"/>
        <w:rPr>
          <w:rFonts w:ascii="Cambria" w:hAnsi="Cambria" w:eastAsia="Times New Roman" w:cs="Times New Roman"/>
          <w:sz w:val="20"/>
          <w:lang w:eastAsia="zh-CN"/>
        </w:rPr>
      </w:pPr>
      <w:r>
        <w:rPr>
          <w:rFonts w:ascii="Cambria" w:hAnsi="Cambria" w:eastAsia="Times New Roman" w:cs="Times New Roman"/>
          <w:b/>
          <w:sz w:val="20"/>
          <w:lang w:eastAsia="zh-CN"/>
        </w:rPr>
        <w:t xml:space="preserve">4. Precondiții </w:t>
      </w:r>
      <w:r>
        <w:rPr>
          <w:rFonts w:ascii="Cambria" w:hAnsi="Cambria" w:eastAsia="Times New Roman" w:cs="Times New Roman"/>
          <w:sz w:val="20"/>
          <w:lang w:eastAsia="zh-CN"/>
        </w:rPr>
        <w:t>(acolo 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8647"/>
      </w:tblGrid>
      <w:tr w14:paraId="7959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425A42FC">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4.1. de curriculum</w:t>
            </w:r>
          </w:p>
        </w:tc>
        <w:tc>
          <w:tcPr>
            <w:tcW w:w="8647" w:type="dxa"/>
            <w:tcBorders>
              <w:bottom w:val="single" w:color="auto" w:sz="4" w:space="0"/>
            </w:tcBorders>
            <w:vAlign w:val="center"/>
          </w:tcPr>
          <w:p w14:paraId="1BC89717">
            <w:pPr>
              <w:suppressAutoHyphens/>
              <w:spacing w:after="0" w:line="240" w:lineRule="auto"/>
              <w:ind w:left="72"/>
              <w:rPr>
                <w:rFonts w:ascii="Cambria" w:hAnsi="Cambria" w:eastAsia="Times New Roman" w:cs="Times New Roman"/>
                <w:color w:val="FF0000"/>
                <w:sz w:val="20"/>
                <w:lang w:eastAsia="zh-CN"/>
              </w:rPr>
            </w:pPr>
          </w:p>
        </w:tc>
      </w:tr>
      <w:tr w14:paraId="4F60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66DAD90A">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4.2. de competențe</w:t>
            </w:r>
          </w:p>
        </w:tc>
        <w:tc>
          <w:tcPr>
            <w:tcW w:w="8647" w:type="dxa"/>
            <w:shd w:val="clear" w:color="auto" w:fill="auto"/>
            <w:vAlign w:val="center"/>
          </w:tcPr>
          <w:p w14:paraId="74C547CB">
            <w:pPr>
              <w:suppressAutoHyphens/>
              <w:spacing w:after="0" w:line="240" w:lineRule="auto"/>
              <w:ind w:left="72"/>
              <w:rPr>
                <w:rFonts w:ascii="Cambria" w:hAnsi="Cambria" w:eastAsia="Times New Roman" w:cs="Times New Roman"/>
                <w:sz w:val="20"/>
                <w:lang w:eastAsia="zh-CN"/>
              </w:rPr>
            </w:pPr>
          </w:p>
        </w:tc>
      </w:tr>
    </w:tbl>
    <w:p w14:paraId="3B1A6A87">
      <w:pPr>
        <w:suppressAutoHyphens/>
        <w:spacing w:after="0" w:line="240" w:lineRule="auto"/>
        <w:ind w:right="-766" w:hanging="426"/>
        <w:rPr>
          <w:rFonts w:ascii="Cambria" w:hAnsi="Cambria" w:eastAsia="Times New Roman" w:cs="Times New Roman"/>
          <w:b/>
          <w:sz w:val="20"/>
          <w:lang w:eastAsia="zh-CN"/>
        </w:rPr>
      </w:pPr>
    </w:p>
    <w:p w14:paraId="0587E22E">
      <w:pPr>
        <w:suppressAutoHyphens/>
        <w:spacing w:after="0" w:line="240" w:lineRule="auto"/>
        <w:ind w:hanging="426"/>
        <w:rPr>
          <w:rFonts w:ascii="Cambria" w:hAnsi="Cambria"/>
          <w:sz w:val="20"/>
          <w:szCs w:val="20"/>
        </w:rPr>
      </w:pPr>
      <w:r>
        <w:rPr>
          <w:rFonts w:ascii="Cambria" w:hAnsi="Cambria" w:eastAsia="Times New Roman" w:cs="Times New Roman"/>
          <w:b/>
          <w:sz w:val="20"/>
          <w:lang w:eastAsia="zh-CN"/>
        </w:rPr>
        <w:t xml:space="preserve">5. Condiții </w:t>
      </w:r>
      <w:r>
        <w:rPr>
          <w:rFonts w:ascii="Cambria" w:hAnsi="Cambria" w:eastAsia="Times New Roman" w:cs="Times New Roman"/>
          <w:sz w:val="20"/>
          <w:lang w:eastAsia="zh-CN"/>
        </w:rPr>
        <w:t xml:space="preserve">(acolo </w:t>
      </w:r>
      <w:r>
        <w:rPr>
          <w:rFonts w:ascii="Cambria" w:hAnsi="Cambria"/>
          <w:sz w:val="20"/>
          <w:szCs w:val="20"/>
        </w:rPr>
        <w:t>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6044"/>
      </w:tblGrid>
      <w:tr w14:paraId="2312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0573268D">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desfășurare a cursului</w:t>
            </w:r>
          </w:p>
        </w:tc>
        <w:tc>
          <w:tcPr>
            <w:tcW w:w="6044" w:type="dxa"/>
            <w:vAlign w:val="center"/>
          </w:tcPr>
          <w:p w14:paraId="2E79BB55">
            <w:pPr>
              <w:pStyle w:val="17"/>
              <w:keepNext w:val="0"/>
              <w:keepLines w:val="0"/>
              <w:widowControl/>
              <w:suppressLineNumbers w:val="0"/>
              <w:rPr>
                <w:b w:val="0"/>
                <w:bCs w:val="0"/>
                <w:sz w:val="20"/>
                <w:szCs w:val="20"/>
              </w:rPr>
            </w:pPr>
            <w:r>
              <w:rPr>
                <w:rFonts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Prezența este </w:t>
            </w:r>
            <w:r>
              <w:rPr>
                <w:rStyle w:val="18"/>
                <w:b w:val="0"/>
                <w:bCs w:val="0"/>
                <w:sz w:val="20"/>
                <w:szCs w:val="20"/>
              </w:rPr>
              <w:t>obligatorie</w:t>
            </w:r>
            <w:r>
              <w:rPr>
                <w:b w:val="0"/>
                <w:bCs w:val="0"/>
                <w:sz w:val="20"/>
                <w:szCs w:val="20"/>
              </w:rPr>
              <w:t xml:space="preserve"> la minimum 80% din totalul orelor. Absențele motivate se pot recupera printr-un </w:t>
            </w:r>
            <w:r>
              <w:rPr>
                <w:rStyle w:val="18"/>
                <w:b w:val="0"/>
                <w:bCs w:val="0"/>
                <w:sz w:val="20"/>
                <w:szCs w:val="20"/>
              </w:rPr>
              <w:t>eseu scris</w:t>
            </w:r>
            <w:r>
              <w:rPr>
                <w:b w:val="0"/>
                <w:bCs w:val="0"/>
                <w:sz w:val="20"/>
                <w:szCs w:val="20"/>
              </w:rPr>
              <w:t xml:space="preserve"> sau </w:t>
            </w:r>
            <w:r>
              <w:rPr>
                <w:rStyle w:val="18"/>
                <w:b w:val="0"/>
                <w:bCs w:val="0"/>
                <w:sz w:val="20"/>
                <w:szCs w:val="20"/>
              </w:rPr>
              <w:t>prezentare tematică</w:t>
            </w:r>
            <w:r>
              <w:rPr>
                <w:b w:val="0"/>
                <w:bCs w:val="0"/>
                <w:sz w:val="20"/>
                <w:szCs w:val="20"/>
              </w:rPr>
              <w:t xml:space="preserve"> stabilită de titularul cursului.</w:t>
            </w:r>
          </w:p>
          <w:p w14:paraId="56439265">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Cursurile se desfășoară în regim interactiv; se</w:t>
            </w:r>
            <w:r>
              <w:rPr>
                <w:rFonts w:hint="default"/>
                <w:b w:val="0"/>
                <w:bCs w:val="0"/>
                <w:sz w:val="20"/>
                <w:szCs w:val="20"/>
                <w:lang w:val="ro-RO"/>
              </w:rPr>
              <w:t xml:space="preserve"> </w:t>
            </w:r>
            <w:r>
              <w:rPr>
                <w:b w:val="0"/>
                <w:bCs w:val="0"/>
                <w:sz w:val="20"/>
                <w:szCs w:val="20"/>
              </w:rPr>
              <w:t>încurajează participarea activă și dialogul.</w:t>
            </w:r>
          </w:p>
          <w:p w14:paraId="52D74F56">
            <w:pPr>
              <w:pStyle w:val="17"/>
              <w:keepNext w:val="0"/>
              <w:keepLines w:val="0"/>
              <w:widowControl/>
              <w:suppressLineNumbers w:val="0"/>
              <w:rPr>
                <w:rFonts w:hint="default" w:ascii="Times New Roman" w:hAnsi="Times New Roman" w:cs="Times New Roman"/>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Utilizarea telefoanelor mobile și a altor dispozitive electronice este </w:t>
            </w:r>
            <w:r>
              <w:rPr>
                <w:rStyle w:val="18"/>
                <w:b w:val="0"/>
                <w:bCs w:val="0"/>
                <w:sz w:val="20"/>
                <w:szCs w:val="20"/>
              </w:rPr>
              <w:t>interzisă</w:t>
            </w:r>
            <w:r>
              <w:rPr>
                <w:b w:val="0"/>
                <w:bCs w:val="0"/>
                <w:sz w:val="20"/>
                <w:szCs w:val="20"/>
              </w:rPr>
              <w:t xml:space="preserve"> în timpul cursului, cu excepția cazurilor când acestea sunt </w:t>
            </w:r>
            <w:r>
              <w:rPr>
                <w:rFonts w:hint="default" w:ascii="Times New Roman" w:hAnsi="Times New Roman" w:cs="Times New Roman"/>
                <w:b w:val="0"/>
                <w:bCs w:val="0"/>
                <w:sz w:val="20"/>
                <w:szCs w:val="20"/>
              </w:rPr>
              <w:t>folosite în scop documentar sau pentru notițe.</w:t>
            </w:r>
          </w:p>
          <w:p w14:paraId="32D4B66E">
            <w:pPr>
              <w:suppressAutoHyphens/>
              <w:spacing w:after="0" w:line="240" w:lineRule="auto"/>
              <w:rPr>
                <w:rFonts w:ascii="Cambria" w:hAnsi="Cambria" w:eastAsia="Times New Roman" w:cs="Times New Roman"/>
                <w:sz w:val="20"/>
                <w:lang w:val="it-IT" w:eastAsia="zh-CN"/>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rFonts w:hint="default" w:ascii="Times New Roman" w:hAnsi="Times New Roman" w:cs="Times New Roman"/>
                <w:b w:val="0"/>
                <w:bCs w:val="0"/>
                <w:sz w:val="20"/>
                <w:szCs w:val="20"/>
              </w:rPr>
              <w:t>Studenții sunt rugați să respecte ora de începere a cursului; întârzierea mai mare de 1</w:t>
            </w:r>
            <w:r>
              <w:rPr>
                <w:rFonts w:hint="default" w:ascii="Times New Roman" w:hAnsi="Times New Roman" w:cs="Times New Roman"/>
                <w:b w:val="0"/>
                <w:bCs w:val="0"/>
                <w:sz w:val="20"/>
                <w:szCs w:val="20"/>
                <w:lang w:val="ro-RO"/>
              </w:rPr>
              <w:t>5</w:t>
            </w:r>
            <w:r>
              <w:rPr>
                <w:rFonts w:hint="default" w:ascii="Times New Roman" w:hAnsi="Times New Roman" w:cs="Times New Roman"/>
                <w:b w:val="0"/>
                <w:bCs w:val="0"/>
                <w:sz w:val="20"/>
                <w:szCs w:val="20"/>
              </w:rPr>
              <w:t xml:space="preserve"> minute poate fi considerată absență.</w:t>
            </w:r>
          </w:p>
        </w:tc>
      </w:tr>
      <w:tr w14:paraId="41B3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12ECB82E">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desfășurare a seminarului/ laboratorului</w:t>
            </w:r>
          </w:p>
        </w:tc>
        <w:tc>
          <w:tcPr>
            <w:tcW w:w="6044" w:type="dxa"/>
            <w:vAlign w:val="center"/>
          </w:tcPr>
          <w:p w14:paraId="428489C8">
            <w:pPr>
              <w:pStyle w:val="17"/>
              <w:keepNext w:val="0"/>
              <w:keepLines w:val="0"/>
              <w:widowControl/>
              <w:suppressLineNumbers w:val="0"/>
              <w:rPr>
                <w:b w:val="0"/>
                <w:bCs w:val="0"/>
                <w:sz w:val="20"/>
                <w:szCs w:val="20"/>
              </w:rPr>
            </w:pPr>
            <w:r>
              <w:rPr>
                <w:rFonts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Activitatea practică se desfășoară în </w:t>
            </w:r>
            <w:r>
              <w:rPr>
                <w:rStyle w:val="18"/>
                <w:b w:val="0"/>
                <w:bCs w:val="0"/>
                <w:sz w:val="20"/>
                <w:szCs w:val="20"/>
              </w:rPr>
              <w:t>studio de teatru / sală de repetiții</w:t>
            </w:r>
            <w:r>
              <w:rPr>
                <w:b w:val="0"/>
                <w:bCs w:val="0"/>
                <w:sz w:val="20"/>
                <w:szCs w:val="20"/>
              </w:rPr>
              <w:t>.</w:t>
            </w:r>
          </w:p>
          <w:p w14:paraId="369B6911">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Prezența este </w:t>
            </w:r>
            <w:r>
              <w:rPr>
                <w:rStyle w:val="18"/>
                <w:b w:val="0"/>
                <w:bCs w:val="0"/>
                <w:sz w:val="20"/>
                <w:szCs w:val="20"/>
              </w:rPr>
              <w:t>obligatorie</w:t>
            </w:r>
            <w:r>
              <w:rPr>
                <w:b w:val="0"/>
                <w:bCs w:val="0"/>
                <w:sz w:val="20"/>
                <w:szCs w:val="20"/>
              </w:rPr>
              <w:t xml:space="preserve">; activitățile nu pot fi recuperate decât în cazuri excepționale, prin realizarea unor </w:t>
            </w:r>
            <w:r>
              <w:rPr>
                <w:rStyle w:val="18"/>
                <w:b w:val="0"/>
                <w:bCs w:val="0"/>
                <w:sz w:val="20"/>
                <w:szCs w:val="20"/>
              </w:rPr>
              <w:t>exerciții individuale suplimentare</w:t>
            </w:r>
            <w:r>
              <w:rPr>
                <w:b w:val="0"/>
                <w:bCs w:val="0"/>
                <w:sz w:val="20"/>
                <w:szCs w:val="20"/>
              </w:rPr>
              <w:t>.</w:t>
            </w:r>
          </w:p>
          <w:p w14:paraId="5E9757B3">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Este obligatorie </w:t>
            </w:r>
            <w:r>
              <w:rPr>
                <w:rStyle w:val="18"/>
                <w:b w:val="0"/>
                <w:bCs w:val="0"/>
                <w:sz w:val="20"/>
                <w:szCs w:val="20"/>
              </w:rPr>
              <w:t>ținuta de lucru</w:t>
            </w:r>
            <w:r>
              <w:rPr>
                <w:b w:val="0"/>
                <w:bCs w:val="0"/>
                <w:sz w:val="20"/>
                <w:szCs w:val="20"/>
              </w:rPr>
              <w:t xml:space="preserve"> care să permită libertatea de mișcare (îmbrăcăminte lejeră, încălțăminte moale).</w:t>
            </w:r>
          </w:p>
          <w:p w14:paraId="682BA754">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Studenții trebuie să aducă </w:t>
            </w:r>
            <w:r>
              <w:rPr>
                <w:rStyle w:val="18"/>
                <w:b w:val="0"/>
                <w:bCs w:val="0"/>
                <w:sz w:val="20"/>
                <w:szCs w:val="20"/>
              </w:rPr>
              <w:t>rechizite specifice lucrului scenic</w:t>
            </w:r>
            <w:r>
              <w:rPr>
                <w:b w:val="0"/>
                <w:bCs w:val="0"/>
                <w:sz w:val="20"/>
                <w:szCs w:val="20"/>
              </w:rPr>
              <w:t xml:space="preserve"> (caiet de regie, pix, eventual obiecte pentru exerciții de compoziție).</w:t>
            </w:r>
          </w:p>
          <w:p w14:paraId="7708E8AF">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Se recomandă filmarea propriilor exerciții pentru analiză ulterioară.</w:t>
            </w:r>
          </w:p>
          <w:p w14:paraId="78C41E7F">
            <w:pPr>
              <w:suppressAutoHyphens/>
              <w:spacing w:after="0" w:line="240" w:lineRule="auto"/>
              <w:rPr>
                <w:rFonts w:ascii="Cambria" w:hAnsi="Cambria" w:eastAsia="Times New Roman" w:cs="Times New Roman"/>
                <w:sz w:val="20"/>
                <w:lang w:val="it-IT" w:eastAsia="zh-CN"/>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rFonts w:hint="default" w:ascii="Times New Roman" w:hAnsi="Times New Roman" w:cs="Times New Roman"/>
                <w:b w:val="0"/>
                <w:bCs w:val="0"/>
                <w:sz w:val="20"/>
                <w:szCs w:val="20"/>
              </w:rPr>
              <w:t xml:space="preserve">Comunicarea cu titularul disciplinei se face </w:t>
            </w:r>
            <w:r>
              <w:rPr>
                <w:rStyle w:val="18"/>
                <w:rFonts w:hint="default" w:ascii="Times New Roman" w:hAnsi="Times New Roman" w:cs="Times New Roman"/>
                <w:b w:val="0"/>
                <w:bCs w:val="0"/>
                <w:sz w:val="20"/>
                <w:szCs w:val="20"/>
              </w:rPr>
              <w:t>direct sau prin platformele online</w:t>
            </w:r>
            <w:r>
              <w:rPr>
                <w:rFonts w:hint="default" w:ascii="Times New Roman" w:hAnsi="Times New Roman" w:cs="Times New Roman"/>
                <w:b w:val="0"/>
                <w:bCs w:val="0"/>
                <w:sz w:val="20"/>
                <w:szCs w:val="20"/>
              </w:rPr>
              <w:t xml:space="preserve"> (e-mail instituțional).</w:t>
            </w:r>
          </w:p>
        </w:tc>
      </w:tr>
    </w:tbl>
    <w:p w14:paraId="3C1B7549">
      <w:pPr>
        <w:spacing w:after="0"/>
        <w:ind w:hanging="425"/>
        <w:rPr>
          <w:rFonts w:ascii="Cambria" w:hAnsi="Cambria"/>
          <w:b/>
          <w:sz w:val="20"/>
          <w:szCs w:val="20"/>
        </w:rPr>
      </w:pPr>
    </w:p>
    <w:p w14:paraId="778FDF1F">
      <w:pPr>
        <w:spacing w:after="0"/>
        <w:ind w:hanging="425"/>
        <w:rPr>
          <w:rFonts w:ascii="Cambria" w:hAnsi="Cambria"/>
          <w:b/>
          <w:sz w:val="20"/>
          <w:szCs w:val="20"/>
        </w:rPr>
      </w:pPr>
      <w:r>
        <w:rPr>
          <w:rFonts w:ascii="Cambria" w:hAnsi="Cambria"/>
          <w:b/>
          <w:sz w:val="20"/>
          <w:szCs w:val="20"/>
        </w:rPr>
        <w:t>6. Rezultatele învățării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639"/>
      </w:tblGrid>
      <w:tr w14:paraId="2D7D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trPr>
        <w:tc>
          <w:tcPr>
            <w:tcW w:w="852" w:type="dxa"/>
            <w:shd w:val="clear" w:color="auto" w:fill="auto"/>
            <w:textDirection w:val="btLr"/>
            <w:vAlign w:val="center"/>
          </w:tcPr>
          <w:p w14:paraId="43C75A0D">
            <w:pPr>
              <w:spacing w:after="0" w:line="240" w:lineRule="auto"/>
              <w:ind w:left="113" w:right="113"/>
              <w:jc w:val="center"/>
              <w:rPr>
                <w:rFonts w:ascii="Cambria" w:hAnsi="Cambria"/>
                <w:b/>
                <w:sz w:val="20"/>
                <w:szCs w:val="20"/>
              </w:rPr>
            </w:pPr>
            <w:r>
              <w:rPr>
                <w:rFonts w:ascii="Cambria" w:hAnsi="Cambria"/>
                <w:b/>
                <w:sz w:val="20"/>
                <w:szCs w:val="20"/>
              </w:rPr>
              <w:t>Cunoștințe</w:t>
            </w:r>
          </w:p>
        </w:tc>
        <w:tc>
          <w:tcPr>
            <w:tcW w:w="9639" w:type="dxa"/>
            <w:shd w:val="clear" w:color="auto" w:fill="auto"/>
            <w:vAlign w:val="center"/>
          </w:tcPr>
          <w:p w14:paraId="1F8F70DD">
            <w:pPr>
              <w:spacing w:after="0" w:line="240" w:lineRule="auto"/>
              <w:jc w:val="both"/>
              <w:rPr>
                <w:rFonts w:hint="default" w:ascii="Cambria" w:hAnsi="Cambria"/>
                <w:sz w:val="20"/>
                <w:szCs w:val="20"/>
              </w:rPr>
            </w:pPr>
            <w:r>
              <w:rPr>
                <w:rFonts w:hint="default" w:ascii="Cambria" w:hAnsi="Cambria"/>
                <w:sz w:val="20"/>
                <w:szCs w:val="20"/>
              </w:rPr>
              <w:t>Studentul cunoaște principiile fundamentale ale procesului de dramatizare, metodele de analiză și transpunere scenică a textelor non-teatrale, structura dramatică de bază (expozițiune, moment declanșator, dezvoltare, climax, deznodământ) și elementele de compoziție vizuală și temporală specifice actului regizoral.</w:t>
            </w:r>
          </w:p>
          <w:p w14:paraId="51D6836E">
            <w:pPr>
              <w:spacing w:after="0" w:line="240" w:lineRule="auto"/>
              <w:jc w:val="both"/>
              <w:rPr>
                <w:rFonts w:ascii="Cambria" w:hAnsi="Cambria"/>
                <w:sz w:val="20"/>
                <w:szCs w:val="20"/>
              </w:rPr>
            </w:pPr>
            <w:r>
              <w:rPr>
                <w:rFonts w:hint="default" w:ascii="Cambria" w:hAnsi="Cambria"/>
                <w:sz w:val="20"/>
                <w:szCs w:val="20"/>
              </w:rPr>
              <w:t>De asemenea, cunoaște etapele elaborării unui caiet de regie și criteriile de selecție a materialelor literare în funcție de potențialul lor scenic.</w:t>
            </w:r>
          </w:p>
        </w:tc>
      </w:tr>
      <w:tr w14:paraId="0634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8" w:hRule="atLeast"/>
        </w:trPr>
        <w:tc>
          <w:tcPr>
            <w:tcW w:w="852" w:type="dxa"/>
            <w:shd w:val="clear" w:color="auto" w:fill="auto"/>
            <w:textDirection w:val="btLr"/>
            <w:vAlign w:val="center"/>
          </w:tcPr>
          <w:p w14:paraId="2FFF1ED5">
            <w:pPr>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shd w:val="clear" w:color="auto" w:fill="auto"/>
            <w:vAlign w:val="center"/>
          </w:tcPr>
          <w:p w14:paraId="7D2562DB">
            <w:pPr>
              <w:spacing w:after="0" w:line="240" w:lineRule="auto"/>
              <w:jc w:val="both"/>
              <w:rPr>
                <w:rFonts w:hint="default" w:ascii="Cambria" w:hAnsi="Cambria"/>
                <w:iCs/>
                <w:sz w:val="20"/>
                <w:szCs w:val="20"/>
                <w:lang w:val="ro-RO"/>
              </w:rPr>
            </w:pPr>
            <w:r>
              <w:rPr>
                <w:rFonts w:hint="default" w:ascii="Cambria" w:hAnsi="Cambria"/>
                <w:iCs/>
                <w:sz w:val="20"/>
                <w:szCs w:val="20"/>
                <w:lang w:val="ro-RO"/>
              </w:rPr>
              <w:t>Studentul este capabil să analizeze un text narativ sau poetic din perspectivă scenică, să identifice și să dezvolte nucleul dramatic al materialului sursă, să structureze coerent o adaptare prin selecție și montaj, și să formuleze un concept regizoral clar, susținut de argumente estetice.</w:t>
            </w:r>
          </w:p>
          <w:p w14:paraId="694E9197">
            <w:pPr>
              <w:spacing w:after="0" w:line="240" w:lineRule="auto"/>
              <w:jc w:val="both"/>
              <w:rPr>
                <w:rFonts w:hint="default" w:ascii="Cambria" w:hAnsi="Cambria"/>
                <w:sz w:val="20"/>
                <w:szCs w:val="20"/>
                <w:lang w:val="ro-RO"/>
              </w:rPr>
            </w:pPr>
            <w:r>
              <w:rPr>
                <w:rFonts w:hint="default" w:ascii="Cambria" w:hAnsi="Cambria"/>
                <w:iCs/>
                <w:sz w:val="20"/>
                <w:szCs w:val="20"/>
                <w:lang w:val="ro-RO"/>
              </w:rPr>
              <w:t>Este capabil să transpună în imagini, acțiuni și ritm scenic semnificațiile textului ales, să utilizeze instrumente de analiză (fișe, schițe, planuri scenice) și să colaboreze eficient în discuții de atelier regizoral.</w:t>
            </w:r>
          </w:p>
        </w:tc>
      </w:tr>
      <w:tr w14:paraId="0060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9" w:hRule="atLeast"/>
        </w:trPr>
        <w:tc>
          <w:tcPr>
            <w:tcW w:w="852" w:type="dxa"/>
            <w:shd w:val="clear" w:color="auto" w:fill="auto"/>
            <w:textDirection w:val="btLr"/>
            <w:vAlign w:val="center"/>
          </w:tcPr>
          <w:p w14:paraId="1DB7DD3D">
            <w:pPr>
              <w:spacing w:after="0" w:line="240" w:lineRule="auto"/>
              <w:jc w:val="center"/>
              <w:rPr>
                <w:rFonts w:ascii="Cambria" w:hAnsi="Cambria"/>
                <w:b/>
                <w:sz w:val="20"/>
                <w:szCs w:val="20"/>
              </w:rPr>
            </w:pPr>
            <w:r>
              <w:rPr>
                <w:rFonts w:ascii="Cambria" w:hAnsi="Cambria"/>
                <w:b/>
                <w:sz w:val="20"/>
                <w:szCs w:val="20"/>
              </w:rPr>
              <w:t>Responsabilități</w:t>
            </w:r>
          </w:p>
          <w:p w14:paraId="31AF2E59">
            <w:pPr>
              <w:spacing w:after="0" w:line="240" w:lineRule="auto"/>
              <w:jc w:val="center"/>
              <w:rPr>
                <w:rFonts w:ascii="Cambria" w:hAnsi="Cambria"/>
                <w:sz w:val="20"/>
                <w:szCs w:val="20"/>
              </w:rPr>
            </w:pPr>
            <w:r>
              <w:rPr>
                <w:rFonts w:ascii="Cambria" w:hAnsi="Cambria"/>
                <w:b/>
                <w:sz w:val="20"/>
                <w:szCs w:val="20"/>
              </w:rPr>
              <w:t>și autonomie</w:t>
            </w:r>
          </w:p>
        </w:tc>
        <w:tc>
          <w:tcPr>
            <w:tcW w:w="9639" w:type="dxa"/>
            <w:shd w:val="clear" w:color="auto" w:fill="auto"/>
            <w:vAlign w:val="center"/>
          </w:tcPr>
          <w:p w14:paraId="2E270806">
            <w:pPr>
              <w:spacing w:after="0" w:line="240" w:lineRule="auto"/>
              <w:jc w:val="both"/>
              <w:rPr>
                <w:rFonts w:hint="default" w:ascii="Cambria" w:hAnsi="Cambria"/>
                <w:sz w:val="20"/>
                <w:szCs w:val="20"/>
              </w:rPr>
            </w:pPr>
            <w:r>
              <w:rPr>
                <w:rFonts w:hint="default" w:ascii="Cambria" w:hAnsi="Cambria"/>
                <w:sz w:val="20"/>
                <w:szCs w:val="20"/>
              </w:rPr>
              <w:t>Studentul are capacitatea de a lucra independent pentru elaborarea propriului proiect de dramatizare, de a-și gestiona timpul și etapele de lucru în procesul de creație, și de a-și asuma decizii estetice și metodologice în construirea conceptului regizoral.</w:t>
            </w:r>
          </w:p>
          <w:p w14:paraId="2891E739">
            <w:pPr>
              <w:spacing w:after="0" w:line="240" w:lineRule="auto"/>
              <w:jc w:val="both"/>
              <w:rPr>
                <w:rFonts w:ascii="Cambria" w:hAnsi="Cambria"/>
                <w:sz w:val="20"/>
                <w:szCs w:val="20"/>
              </w:rPr>
            </w:pPr>
            <w:r>
              <w:rPr>
                <w:rFonts w:hint="default" w:ascii="Cambria" w:hAnsi="Cambria"/>
                <w:sz w:val="20"/>
                <w:szCs w:val="20"/>
              </w:rPr>
              <w:t>Manifestează spirit critic și reflexiv față de propriul demers artistic și față de materialele sursă, demonstrând o atitudine responsabilă și matură în aplicarea principiilor de etică profesională și de colaborare artistică.</w:t>
            </w:r>
          </w:p>
        </w:tc>
      </w:tr>
    </w:tbl>
    <w:p w14:paraId="3696EE33">
      <w:pPr>
        <w:spacing w:after="0"/>
        <w:rPr>
          <w:rFonts w:ascii="Cambria" w:hAnsi="Cambria"/>
          <w:b/>
          <w:sz w:val="20"/>
          <w:szCs w:val="20"/>
        </w:rPr>
      </w:pPr>
    </w:p>
    <w:p w14:paraId="7B03E77D">
      <w:pPr>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7661"/>
      </w:tblGrid>
      <w:tr w14:paraId="70D4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3" w:hRule="atLeast"/>
        </w:trPr>
        <w:tc>
          <w:tcPr>
            <w:tcW w:w="2830" w:type="dxa"/>
            <w:shd w:val="clear" w:color="auto" w:fill="auto"/>
            <w:vAlign w:val="center"/>
          </w:tcPr>
          <w:p w14:paraId="64DCA41D">
            <w:pPr>
              <w:spacing w:after="0" w:line="240" w:lineRule="auto"/>
              <w:rPr>
                <w:rFonts w:ascii="Cambria" w:hAnsi="Cambria"/>
                <w:b/>
                <w:sz w:val="20"/>
                <w:szCs w:val="20"/>
              </w:rPr>
            </w:pPr>
            <w:r>
              <w:rPr>
                <w:rFonts w:ascii="Cambria" w:hAnsi="Cambria"/>
                <w:b/>
                <w:sz w:val="20"/>
                <w:szCs w:val="20"/>
              </w:rPr>
              <w:t>7.1 Obiectivul general al disciplinei</w:t>
            </w:r>
          </w:p>
        </w:tc>
        <w:tc>
          <w:tcPr>
            <w:tcW w:w="7661" w:type="dxa"/>
            <w:shd w:val="clear" w:color="auto" w:fill="auto"/>
            <w:vAlign w:val="center"/>
          </w:tcPr>
          <w:p w14:paraId="7F90CB51">
            <w:pPr>
              <w:pStyle w:val="35"/>
              <w:numPr>
                <w:ilvl w:val="0"/>
                <w:numId w:val="1"/>
              </w:numPr>
              <w:spacing w:after="0" w:line="240" w:lineRule="auto"/>
              <w:jc w:val="both"/>
              <w:rPr>
                <w:rFonts w:hint="default" w:ascii="Cambria" w:hAnsi="Cambria" w:cs="Cambria"/>
                <w:sz w:val="20"/>
                <w:szCs w:val="20"/>
              </w:rPr>
            </w:pPr>
            <w:r>
              <w:rPr>
                <w:rFonts w:hint="default" w:ascii="Cambria" w:hAnsi="Cambria" w:cs="Cambria"/>
                <w:sz w:val="20"/>
                <w:szCs w:val="20"/>
              </w:rPr>
              <w:t>Dezvoltarea capacității studentului de a transforma un material literar non-teatral (roman, nuvelă, poem, eseu) într-un proiect scenic coerent, printr-un proces complex de analiză, selecție și transpunere regizorală. Disciplina urmărește formarea gândirii dramaturgice și a competențelor practice de elaborare a unei structuri dramatice și vizuale originale, consolidând autonomia creativă și rigoarea procesului de lucru.</w:t>
            </w:r>
          </w:p>
        </w:tc>
      </w:tr>
      <w:tr w14:paraId="36D1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2830" w:type="dxa"/>
            <w:shd w:val="clear" w:color="auto" w:fill="auto"/>
            <w:vAlign w:val="center"/>
          </w:tcPr>
          <w:p w14:paraId="30BC7B09">
            <w:pPr>
              <w:spacing w:after="0" w:line="240" w:lineRule="auto"/>
              <w:rPr>
                <w:rFonts w:ascii="Cambria" w:hAnsi="Cambria"/>
                <w:b/>
                <w:sz w:val="20"/>
                <w:szCs w:val="20"/>
              </w:rPr>
            </w:pPr>
            <w:r>
              <w:rPr>
                <w:rFonts w:ascii="Cambria" w:hAnsi="Cambria"/>
                <w:b/>
                <w:sz w:val="20"/>
                <w:szCs w:val="20"/>
              </w:rPr>
              <w:t>7.2 Obiectivele specifice</w:t>
            </w:r>
          </w:p>
        </w:tc>
        <w:tc>
          <w:tcPr>
            <w:tcW w:w="7661" w:type="dxa"/>
            <w:shd w:val="clear" w:color="auto" w:fill="auto"/>
            <w:vAlign w:val="center"/>
          </w:tcPr>
          <w:p w14:paraId="787F3B38">
            <w:pPr>
              <w:pStyle w:val="17"/>
              <w:keepNext w:val="0"/>
              <w:keepLines w:val="0"/>
              <w:widowControl/>
              <w:suppressLineNumbers w:val="0"/>
              <w:jc w:val="both"/>
              <w:rPr>
                <w:rFonts w:hint="default" w:ascii="Cambria" w:hAnsi="Cambria" w:cs="Cambria"/>
                <w:sz w:val="20"/>
                <w:szCs w:val="20"/>
              </w:rPr>
            </w:pPr>
            <w:r>
              <w:rPr>
                <w:rFonts w:hint="default" w:ascii="Cambria" w:hAnsi="Cambria" w:cs="Cambria"/>
                <w:sz w:val="20"/>
                <w:szCs w:val="20"/>
                <w:lang w:val="ro-RO"/>
              </w:rPr>
              <w:t xml:space="preserve">1. </w:t>
            </w:r>
            <w:r>
              <w:rPr>
                <w:rFonts w:hint="default" w:ascii="Cambria" w:hAnsi="Cambria" w:cs="Cambria"/>
                <w:sz w:val="20"/>
                <w:szCs w:val="20"/>
              </w:rPr>
              <w:t>Analizarea unui text literar din perspectivă scenică, prin identificarea conflictelor, tensiunilor și potențialului dramaturgic.</w:t>
            </w:r>
          </w:p>
          <w:p w14:paraId="0D06CB2F">
            <w:pPr>
              <w:pStyle w:val="17"/>
              <w:keepNext w:val="0"/>
              <w:keepLines w:val="0"/>
              <w:widowControl/>
              <w:suppressLineNumbers w:val="0"/>
              <w:jc w:val="both"/>
              <w:rPr>
                <w:rFonts w:hint="default" w:ascii="Cambria" w:hAnsi="Cambria" w:cs="Cambria"/>
                <w:sz w:val="20"/>
                <w:szCs w:val="20"/>
              </w:rPr>
            </w:pPr>
            <w:r>
              <w:rPr>
                <w:rFonts w:hint="default" w:ascii="Cambria" w:hAnsi="Cambria" w:cs="Cambria"/>
                <w:sz w:val="20"/>
                <w:szCs w:val="20"/>
                <w:lang w:val="ro-RO"/>
              </w:rPr>
              <w:t xml:space="preserve">2. </w:t>
            </w:r>
            <w:r>
              <w:rPr>
                <w:rFonts w:hint="default" w:ascii="Cambria" w:hAnsi="Cambria" w:cs="Cambria"/>
                <w:sz w:val="20"/>
                <w:szCs w:val="20"/>
              </w:rPr>
              <w:t>Exersarea capacității de selecție și adaptare a materialelor narative sau poetice în scop scenic.</w:t>
            </w:r>
          </w:p>
          <w:p w14:paraId="7AE1BDFB">
            <w:pPr>
              <w:pStyle w:val="17"/>
              <w:keepNext w:val="0"/>
              <w:keepLines w:val="0"/>
              <w:widowControl/>
              <w:suppressLineNumbers w:val="0"/>
              <w:jc w:val="both"/>
              <w:rPr>
                <w:rFonts w:hint="default" w:ascii="Cambria" w:hAnsi="Cambria" w:cs="Cambria"/>
                <w:sz w:val="20"/>
                <w:szCs w:val="20"/>
              </w:rPr>
            </w:pPr>
            <w:r>
              <w:rPr>
                <w:rFonts w:hint="default" w:ascii="Cambria" w:hAnsi="Cambria" w:eastAsia="Symbol" w:cs="Cambria"/>
                <w:sz w:val="20"/>
                <w:szCs w:val="20"/>
                <w:lang w:val="ro-RO"/>
              </w:rPr>
              <w:t xml:space="preserve">3. </w:t>
            </w:r>
            <w:r>
              <w:rPr>
                <w:rFonts w:hint="default" w:ascii="Cambria" w:hAnsi="Cambria" w:cs="Cambria"/>
                <w:sz w:val="20"/>
                <w:szCs w:val="20"/>
              </w:rPr>
              <w:t>Elaborarea unei structuri dramatice proprii (expozițiune, moment declanșator, dezvoltare, climax, deznodământ) pornind de la textul sursă.</w:t>
            </w:r>
          </w:p>
          <w:p w14:paraId="7D71C66E">
            <w:pPr>
              <w:pStyle w:val="17"/>
              <w:keepNext w:val="0"/>
              <w:keepLines w:val="0"/>
              <w:widowControl/>
              <w:suppressLineNumbers w:val="0"/>
              <w:jc w:val="both"/>
              <w:rPr>
                <w:rFonts w:hint="default" w:ascii="Cambria" w:hAnsi="Cambria" w:cs="Cambria"/>
                <w:sz w:val="20"/>
                <w:szCs w:val="20"/>
              </w:rPr>
            </w:pPr>
            <w:r>
              <w:rPr>
                <w:rFonts w:hint="default" w:ascii="Cambria" w:hAnsi="Cambria" w:eastAsia="Symbol" w:cs="Cambria"/>
                <w:sz w:val="20"/>
                <w:szCs w:val="20"/>
                <w:lang w:val="ro-RO"/>
              </w:rPr>
              <w:t xml:space="preserve">4. </w:t>
            </w:r>
            <w:r>
              <w:rPr>
                <w:rFonts w:hint="default" w:ascii="Cambria" w:hAnsi="Cambria" w:cs="Cambria"/>
                <w:sz w:val="20"/>
                <w:szCs w:val="20"/>
              </w:rPr>
              <w:t>Dezvoltarea gândirii regizorale prin formularea unui concept clar și a unui plan de transpunere scenică.</w:t>
            </w:r>
          </w:p>
          <w:p w14:paraId="6636174A">
            <w:pPr>
              <w:pStyle w:val="17"/>
              <w:keepNext w:val="0"/>
              <w:keepLines w:val="0"/>
              <w:widowControl/>
              <w:suppressLineNumbers w:val="0"/>
              <w:jc w:val="both"/>
              <w:rPr>
                <w:rFonts w:hint="default" w:ascii="Cambria" w:hAnsi="Cambria" w:cs="Cambria"/>
                <w:sz w:val="20"/>
                <w:szCs w:val="20"/>
              </w:rPr>
            </w:pPr>
            <w:r>
              <w:rPr>
                <w:rFonts w:hint="default" w:ascii="Cambria" w:hAnsi="Cambria" w:eastAsia="Symbol" w:cs="Cambria"/>
                <w:sz w:val="20"/>
                <w:szCs w:val="20"/>
                <w:lang w:val="ro-RO"/>
              </w:rPr>
              <w:t xml:space="preserve">5. </w:t>
            </w:r>
            <w:r>
              <w:rPr>
                <w:rFonts w:hint="default" w:ascii="Cambria" w:hAnsi="Cambria" w:cs="Cambria"/>
                <w:sz w:val="20"/>
                <w:szCs w:val="20"/>
              </w:rPr>
              <w:t>Integrarea noțiunilor de compoziție, ritm, imagine scenică și relație dramatică în construcția exercițiilor de dramatizare.</w:t>
            </w:r>
          </w:p>
          <w:p w14:paraId="49C8C8EF">
            <w:pPr>
              <w:pStyle w:val="17"/>
              <w:keepNext w:val="0"/>
              <w:keepLines w:val="0"/>
              <w:widowControl/>
              <w:suppressLineNumbers w:val="0"/>
              <w:jc w:val="both"/>
              <w:rPr>
                <w:rFonts w:hint="default" w:ascii="Cambria" w:hAnsi="Cambria" w:cs="Cambria"/>
                <w:sz w:val="20"/>
                <w:szCs w:val="20"/>
              </w:rPr>
            </w:pPr>
            <w:r>
              <w:rPr>
                <w:rFonts w:hint="default" w:ascii="Cambria" w:hAnsi="Cambria" w:eastAsia="Symbol" w:cs="Cambria"/>
                <w:sz w:val="20"/>
                <w:szCs w:val="20"/>
                <w:lang w:val="ro-RO"/>
              </w:rPr>
              <w:t xml:space="preserve">6. </w:t>
            </w:r>
            <w:r>
              <w:rPr>
                <w:rFonts w:hint="default" w:ascii="Cambria" w:hAnsi="Cambria" w:cs="Cambria"/>
                <w:sz w:val="20"/>
                <w:szCs w:val="20"/>
              </w:rPr>
              <w:t>Cultivarea unei atitudini reflexive și critice față de procesul de lucru și față de raportul dintre literatură și teatru.</w:t>
            </w:r>
            <w:r>
              <w:rPr>
                <w:rFonts w:hint="default" w:ascii="Cambria" w:hAnsi="Cambria" w:eastAsia="SimSun" w:cs="Cambria"/>
                <w:sz w:val="20"/>
                <w:szCs w:val="20"/>
              </w:rPr>
              <w:t xml:space="preserve"> </w:t>
            </w:r>
          </w:p>
        </w:tc>
      </w:tr>
    </w:tbl>
    <w:p w14:paraId="08ACB65C">
      <w:pPr>
        <w:ind w:hanging="426"/>
        <w:rPr>
          <w:rFonts w:ascii="Cambria" w:hAnsi="Cambria"/>
          <w:sz w:val="20"/>
          <w:szCs w:val="20"/>
        </w:rPr>
      </w:pPr>
    </w:p>
    <w:p w14:paraId="1AB1B035">
      <w:pPr>
        <w:rPr>
          <w:rFonts w:ascii="Cambria" w:hAnsi="Cambria"/>
          <w:sz w:val="20"/>
          <w:szCs w:val="20"/>
        </w:rPr>
      </w:pPr>
    </w:p>
    <w:p w14:paraId="550C8D78">
      <w:pPr>
        <w:spacing w:after="0"/>
        <w:ind w:hanging="426"/>
        <w:rPr>
          <w:rFonts w:ascii="Cambria" w:hAnsi="Cambria"/>
          <w:b/>
          <w:sz w:val="20"/>
          <w:szCs w:val="20"/>
        </w:rPr>
      </w:pPr>
      <w:r>
        <w:rPr>
          <w:rFonts w:ascii="Cambria" w:hAnsi="Cambria"/>
          <w:b/>
          <w:sz w:val="20"/>
          <w:szCs w:val="20"/>
        </w:rPr>
        <w:t>8. Conținuturi</w:t>
      </w:r>
    </w:p>
    <w:tbl>
      <w:tblPr>
        <w:tblStyle w:val="12"/>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3119"/>
        <w:gridCol w:w="2977"/>
      </w:tblGrid>
      <w:tr w14:paraId="5486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B7DE2C8">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8.1 Curs</w:t>
            </w:r>
          </w:p>
        </w:tc>
        <w:tc>
          <w:tcPr>
            <w:tcW w:w="3119" w:type="dxa"/>
            <w:shd w:val="clear" w:color="auto" w:fill="auto"/>
            <w:vAlign w:val="center"/>
          </w:tcPr>
          <w:p w14:paraId="27721A81">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Metode de predare</w:t>
            </w:r>
          </w:p>
        </w:tc>
        <w:tc>
          <w:tcPr>
            <w:tcW w:w="2977" w:type="dxa"/>
            <w:shd w:val="clear" w:color="auto" w:fill="auto"/>
            <w:vAlign w:val="center"/>
          </w:tcPr>
          <w:p w14:paraId="5F6F867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Observații</w:t>
            </w:r>
          </w:p>
        </w:tc>
      </w:tr>
      <w:tr w14:paraId="2440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425D878">
            <w:pPr>
              <w:numPr>
                <w:ilvl w:val="0"/>
                <w:numId w:val="2"/>
              </w:num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Introducere în dramatizare și adaptare – definiții, relația dintre adaptare și traducere; rolul regizorului ca adaptor</w:t>
            </w:r>
          </w:p>
        </w:tc>
        <w:tc>
          <w:tcPr>
            <w:tcW w:w="3119" w:type="dxa"/>
            <w:shd w:val="clear" w:color="auto" w:fill="auto"/>
            <w:vAlign w:val="center"/>
          </w:tcPr>
          <w:p w14:paraId="4AEE5826">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interactivă; discuții pe exemple (film vs. spectacol)</w:t>
            </w:r>
          </w:p>
        </w:tc>
        <w:tc>
          <w:tcPr>
            <w:tcW w:w="2977" w:type="dxa"/>
            <w:shd w:val="clear" w:color="auto" w:fill="auto"/>
            <w:vAlign w:val="center"/>
          </w:tcPr>
          <w:p w14:paraId="34B87A81">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Lectură: Julie Sanders, Adaptation and Appropriation (cap. 1)</w:t>
            </w:r>
          </w:p>
        </w:tc>
      </w:tr>
      <w:tr w14:paraId="0B45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77143C3">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Istoria și teoriile adaptării – adaptarea ca practică culturală; tipuri de adaptare (revizie, parodie, modernizare)</w:t>
            </w:r>
          </w:p>
        </w:tc>
        <w:tc>
          <w:tcPr>
            <w:tcW w:w="3119" w:type="dxa"/>
            <w:shd w:val="clear" w:color="auto" w:fill="auto"/>
            <w:vAlign w:val="center"/>
          </w:tcPr>
          <w:p w14:paraId="2F417D16">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și analiză de texte/video; fișă cronologică</w:t>
            </w:r>
          </w:p>
        </w:tc>
        <w:tc>
          <w:tcPr>
            <w:tcW w:w="2977" w:type="dxa"/>
            <w:shd w:val="clear" w:color="auto" w:fill="auto"/>
            <w:vAlign w:val="center"/>
          </w:tcPr>
          <w:p w14:paraId="7E688862">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Lectură: studiu de caz (adaptări de mituri grecești sau Shakespeare)</w:t>
            </w:r>
          </w:p>
        </w:tc>
      </w:tr>
      <w:tr w14:paraId="047D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5A36083">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Analiza și selecția textului sursă – criterii pentru alegerea unui roman, nuvelă sau poem; identificarea nucleului dramatic</w:t>
            </w:r>
          </w:p>
        </w:tc>
        <w:tc>
          <w:tcPr>
            <w:tcW w:w="3119" w:type="dxa"/>
            <w:shd w:val="clear" w:color="auto" w:fill="auto"/>
            <w:vAlign w:val="center"/>
          </w:tcPr>
          <w:p w14:paraId="17BA7C53">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 exercițiu de selecție pe text propus de profesor</w:t>
            </w:r>
          </w:p>
        </w:tc>
        <w:tc>
          <w:tcPr>
            <w:tcW w:w="2977" w:type="dxa"/>
            <w:shd w:val="clear" w:color="auto" w:fill="auto"/>
            <w:vAlign w:val="center"/>
          </w:tcPr>
          <w:p w14:paraId="68404402">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Studentul propune trei texte posibile pentru proiect</w:t>
            </w:r>
          </w:p>
        </w:tc>
      </w:tr>
      <w:tr w14:paraId="30D7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53518B">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Structura dramatică de bază – expozițiune, moment declanșator, dezvoltare, climax, deznodământ; compararea cu structura narativă</w:t>
            </w:r>
          </w:p>
        </w:tc>
        <w:tc>
          <w:tcPr>
            <w:tcW w:w="3119" w:type="dxa"/>
            <w:shd w:val="clear" w:color="auto" w:fill="auto"/>
            <w:vAlign w:val="center"/>
          </w:tcPr>
          <w:p w14:paraId="536C28E5">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și analiză de exemple; schemă comparativă</w:t>
            </w:r>
          </w:p>
        </w:tc>
        <w:tc>
          <w:tcPr>
            <w:tcW w:w="2977" w:type="dxa"/>
            <w:shd w:val="clear" w:color="auto" w:fill="auto"/>
            <w:vAlign w:val="center"/>
          </w:tcPr>
          <w:p w14:paraId="7769CC81">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Fișă cu analiza structurii unei nuvele</w:t>
            </w:r>
          </w:p>
        </w:tc>
      </w:tr>
      <w:tr w14:paraId="004A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0CE6DDB6">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Transpunerea narațiunii în acțiune scenică – monolog interior vs. dialog, descriere vs. indicație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FD44D03">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Studiu de caz (un capitol de roman dramatizat); exercițiu scurt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E9B20EA">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Studentul rescrie un paragraf descriptiv ca dialog</w:t>
            </w:r>
          </w:p>
        </w:tc>
      </w:tr>
      <w:tr w14:paraId="3D0D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710D4C1">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Construirea personajului în adaptare – condensarea personajelor, motivații, arcul transformării</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BBEC515">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 analiză pe personaje din roman selectat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09B9E1C">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Fișă de personaj: trăsături, obiective, relații</w:t>
            </w:r>
          </w:p>
        </w:tc>
      </w:tr>
      <w:tr w14:paraId="245D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13BBB10">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Spațiul și timpul scenic – reprezentarea spațiilor multiple, trecerea timpului pe scenă; flashback, elipsă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2B843CBD">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Analiză de spectacol adaptat; discuție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B1AF608">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Schiță de scenă cu trei locații diferite</w:t>
            </w:r>
          </w:p>
        </w:tc>
      </w:tr>
      <w:tr w14:paraId="05A3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7E482FC">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Adaptarea romanului pentru scenă – provocări și strategii; exemplu de adaptare clasică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481BF6A">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 vizionare fragment adaptat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098EC06">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Pregătirea unui eseu scurt despre adaptarea unui capitol</w:t>
            </w:r>
          </w:p>
        </w:tc>
      </w:tr>
      <w:tr w14:paraId="4527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0A4B4392">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Adaptarea povestirii și nuvelei – minimalism, esențializarea intrigii; comparație între formă lungă și scurtă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49BED3C4">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analiză comparativă; discuție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56A2F98">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Rescrierea unei povestiri în 2‑3 scene</w:t>
            </w:r>
          </w:p>
        </w:tc>
      </w:tr>
      <w:tr w14:paraId="2919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1D88FC70">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Dramatizarea poeziei – ritm, imagine, metaforă; transformarea versului în acțiune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5D56F90D">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Atelier teoretic cu exemple (adaptări de poezii)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3C71427E">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Propunere de dramatizare a unui poem propriu</w:t>
            </w:r>
          </w:p>
        </w:tc>
      </w:tr>
      <w:tr w14:paraId="7377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FC00BF4">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Adaptarea altor materiale – jurnale, scrisori, materiale documentare; noțiuni de teatru documentar</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126C263B">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și analiză; discuție etică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41ED3AD">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Lectură: selectarea unui articol pentru exercițiu</w:t>
            </w:r>
          </w:p>
        </w:tc>
      </w:tr>
      <w:tr w14:paraId="1CB7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29A6F80">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Aspecte etice și juridice – drepturi de autor, responsabilitatea adaptorului față de text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51D2A0FD">
            <w:pPr>
              <w:spacing w:after="0" w:line="240" w:lineRule="auto"/>
              <w:rPr>
                <w:rFonts w:hint="default" w:ascii="Times New Roman" w:hAnsi="Times New Roman" w:eastAsia="Calibri" w:cs="Times New Roman"/>
                <w:kern w:val="0"/>
                <w:sz w:val="20"/>
                <w:szCs w:val="20"/>
                <w14:ligatures w14:val="none"/>
              </w:rPr>
            </w:pPr>
            <w:r>
              <w:rPr>
                <w:rFonts w:hint="default" w:ascii="Cambria" w:hAnsi="Cambria" w:eastAsia="SimSun" w:cs="Cambria"/>
                <w:sz w:val="20"/>
                <w:szCs w:val="20"/>
              </w:rPr>
              <w:t>Prelegere + dezbatere; studii de caz</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DE367DD">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Documentare privind drepturile unei opere alese</w:t>
            </w:r>
          </w:p>
        </w:tc>
      </w:tr>
      <w:tr w14:paraId="01DC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86C1EE2">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Prezentarea conceptului de adaptare – structura pitch‑ului: sinopsis, concept regizoral, plan de scenă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16DB169F">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Prezentări individuale, feedback colegial</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4A0B01B1">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Pregătirea pitch‑ului pentru proiectul final</w:t>
            </w:r>
          </w:p>
        </w:tc>
      </w:tr>
      <w:tr w14:paraId="4B58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657E9CA4">
            <w:pPr>
              <w:numPr>
                <w:ilvl w:val="0"/>
                <w:numId w:val="2"/>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Sinteză și evaluare – recapitularea teoriei și a metodelor; discuție de bilanț și recomandări pentru proiect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47096568">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Discuție colectivă, Q&amp;A; mini‑test teoretic</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2A5652D2">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Definitivarea conceptului și a planului pentru caietul de regie</w:t>
            </w:r>
          </w:p>
        </w:tc>
      </w:tr>
      <w:tr w14:paraId="6DE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6988E32C">
            <w:pPr>
              <w:pStyle w:val="17"/>
              <w:keepNext w:val="0"/>
              <w:keepLines w:val="0"/>
              <w:widowControl/>
              <w:suppressLineNumbers w:val="0"/>
              <w:rPr>
                <w:rFonts w:hint="default" w:ascii="Cambria" w:hAnsi="Cambria" w:cs="Cambria"/>
                <w:sz w:val="20"/>
                <w:szCs w:val="20"/>
              </w:rPr>
            </w:pPr>
            <w:r>
              <w:rPr>
                <w:rFonts w:ascii="Cambria" w:hAnsi="Cambria"/>
                <w:sz w:val="20"/>
                <w:szCs w:val="20"/>
              </w:rPr>
              <w:t>Bibliografie</w:t>
            </w:r>
            <w:r>
              <w:rPr>
                <w:rFonts w:ascii="Cambria" w:hAnsi="Cambria"/>
                <w:sz w:val="20"/>
                <w:szCs w:val="20"/>
              </w:rPr>
              <w:br w:type="textWrapping"/>
            </w:r>
            <w:r>
              <w:rPr>
                <w:rFonts w:ascii="Cambria" w:hAnsi="Cambria"/>
                <w:sz w:val="20"/>
                <w:szCs w:val="20"/>
              </w:rPr>
              <w:br w:type="textWrapping"/>
            </w:r>
            <w:r>
              <w:rPr>
                <w:rFonts w:hint="default" w:ascii="Cambria" w:hAnsi="Cambria"/>
                <w:sz w:val="20"/>
                <w:szCs w:val="20"/>
                <w:lang w:val="ro-RO"/>
              </w:rPr>
              <w:t>1.</w:t>
            </w:r>
            <w:r>
              <w:rPr>
                <w:rFonts w:hint="default" w:ascii="Cambria" w:hAnsi="Cambria" w:eastAsia="SimSun" w:cs="Cambria"/>
                <w:sz w:val="20"/>
                <w:szCs w:val="20"/>
              </w:rPr>
              <w:t xml:space="preserve"> </w:t>
            </w:r>
            <w:r>
              <w:rPr>
                <w:rFonts w:hint="default" w:ascii="Cambria" w:hAnsi="Cambria" w:cs="Cambria"/>
                <w:sz w:val="20"/>
                <w:szCs w:val="20"/>
              </w:rPr>
              <w:t xml:space="preserve">Peter Brook, </w:t>
            </w:r>
            <w:r>
              <w:rPr>
                <w:rStyle w:val="13"/>
                <w:rFonts w:hint="default" w:ascii="Cambria" w:hAnsi="Cambria" w:cs="Cambria"/>
                <w:sz w:val="20"/>
                <w:szCs w:val="20"/>
              </w:rPr>
              <w:t>Punct și de la capăt. 40 de ani de explorări în teatru, film, operă</w:t>
            </w:r>
            <w:r>
              <w:rPr>
                <w:rFonts w:hint="default" w:ascii="Cambria" w:hAnsi="Cambria" w:cs="Cambria"/>
                <w:sz w:val="20"/>
                <w:szCs w:val="20"/>
              </w:rPr>
              <w:t>, traducere de Dana Ionescu, București: Editura Nemira, colecția „Yorick”, 2018. ISBN 978-606-43-0462-9.</w:t>
            </w:r>
          </w:p>
          <w:p w14:paraId="7C9AAD75">
            <w:pPr>
              <w:pStyle w:val="17"/>
              <w:keepNext w:val="0"/>
              <w:keepLines w:val="0"/>
              <w:widowControl/>
              <w:numPr>
                <w:ilvl w:val="0"/>
                <w:numId w:val="3"/>
              </w:numPr>
              <w:suppressLineNumbers w:val="0"/>
              <w:rPr>
                <w:rFonts w:hint="default" w:ascii="Cambria" w:hAnsi="Cambria" w:cs="Cambria"/>
                <w:sz w:val="20"/>
                <w:szCs w:val="20"/>
              </w:rPr>
            </w:pPr>
            <w:r>
              <w:rPr>
                <w:rFonts w:hint="default" w:ascii="Cambria" w:hAnsi="Cambria" w:cs="Cambria"/>
                <w:sz w:val="20"/>
                <w:szCs w:val="20"/>
              </w:rPr>
              <w:t xml:space="preserve">Peter Brook, </w:t>
            </w:r>
            <w:r>
              <w:rPr>
                <w:rStyle w:val="13"/>
                <w:rFonts w:hint="default" w:ascii="Cambria" w:hAnsi="Cambria" w:cs="Cambria"/>
                <w:sz w:val="20"/>
                <w:szCs w:val="20"/>
              </w:rPr>
              <w:t>Fără secrete. Gânduri despre actorie și teatru</w:t>
            </w:r>
            <w:r>
              <w:rPr>
                <w:rFonts w:hint="default" w:ascii="Cambria" w:hAnsi="Cambria" w:cs="Cambria"/>
                <w:sz w:val="20"/>
                <w:szCs w:val="20"/>
              </w:rPr>
              <w:t>, traducere de Monica Andronescu, București: Editura Nemira, 2012. ISBN 978-606-579-464-7.</w:t>
            </w:r>
            <w:r>
              <w:rPr>
                <w:rFonts w:hint="default" w:ascii="Cambria" w:hAnsi="Cambria" w:cs="Cambria"/>
                <w:sz w:val="20"/>
                <w:szCs w:val="20"/>
              </w:rPr>
              <w:br w:type="textWrapping"/>
            </w:r>
          </w:p>
          <w:p w14:paraId="1792446A">
            <w:pPr>
              <w:pStyle w:val="17"/>
              <w:keepNext w:val="0"/>
              <w:keepLines w:val="0"/>
              <w:widowControl/>
              <w:numPr>
                <w:ilvl w:val="0"/>
                <w:numId w:val="3"/>
              </w:numPr>
              <w:suppressLineNumbers w:val="0"/>
              <w:ind w:left="0" w:leftChars="0" w:firstLine="0" w:firstLineChars="0"/>
              <w:rPr>
                <w:rFonts w:hint="default" w:ascii="Cambria" w:hAnsi="Cambria" w:cs="Cambria"/>
                <w:sz w:val="20"/>
                <w:szCs w:val="20"/>
              </w:rPr>
            </w:pPr>
            <w:r>
              <w:rPr>
                <w:rFonts w:hint="default" w:ascii="Cambria" w:hAnsi="Cambria" w:cs="Cambria"/>
                <w:sz w:val="20"/>
                <w:szCs w:val="20"/>
              </w:rPr>
              <w:t xml:space="preserve">Julie Sanders, </w:t>
            </w:r>
            <w:r>
              <w:rPr>
                <w:rStyle w:val="13"/>
                <w:rFonts w:hint="default" w:ascii="Cambria" w:hAnsi="Cambria" w:cs="Cambria"/>
                <w:sz w:val="20"/>
                <w:szCs w:val="20"/>
              </w:rPr>
              <w:t>Adaptation and Appropriation</w:t>
            </w:r>
            <w:r>
              <w:rPr>
                <w:rFonts w:hint="default" w:ascii="Cambria" w:hAnsi="Cambria" w:cs="Cambria"/>
                <w:sz w:val="20"/>
                <w:szCs w:val="20"/>
              </w:rPr>
              <w:t>, Londra – New York: Routledge, 2006. ISBN 978-0-415-34703-4.</w:t>
            </w:r>
            <w:r>
              <w:rPr>
                <w:rFonts w:hint="default" w:ascii="Cambria" w:hAnsi="Cambria" w:cs="Cambria"/>
                <w:sz w:val="20"/>
                <w:szCs w:val="20"/>
              </w:rPr>
              <w:br w:type="textWrapping"/>
            </w:r>
          </w:p>
          <w:p w14:paraId="45132F7B">
            <w:pPr>
              <w:pStyle w:val="17"/>
              <w:keepNext w:val="0"/>
              <w:keepLines w:val="0"/>
              <w:widowControl/>
              <w:numPr>
                <w:ilvl w:val="0"/>
                <w:numId w:val="3"/>
              </w:numPr>
              <w:suppressLineNumbers w:val="0"/>
              <w:ind w:left="0" w:leftChars="0" w:firstLine="0" w:firstLineChars="0"/>
              <w:rPr>
                <w:rFonts w:hint="default" w:ascii="Cambria" w:hAnsi="Cambria" w:cs="Cambria"/>
                <w:sz w:val="20"/>
                <w:szCs w:val="20"/>
              </w:rPr>
            </w:pPr>
            <w:r>
              <w:rPr>
                <w:rFonts w:hint="default" w:ascii="Cambria" w:hAnsi="Cambria" w:cs="Cambria"/>
                <w:sz w:val="20"/>
                <w:szCs w:val="20"/>
              </w:rPr>
              <w:t xml:space="preserve">Kara Reilly (ed.), </w:t>
            </w:r>
            <w:r>
              <w:rPr>
                <w:rStyle w:val="13"/>
                <w:rFonts w:hint="default" w:ascii="Cambria" w:hAnsi="Cambria" w:cs="Cambria"/>
                <w:sz w:val="20"/>
                <w:szCs w:val="20"/>
              </w:rPr>
              <w:t>Contemporary Approaches to Adaptation in Theatre (Adaptation in Theatre and Performance)</w:t>
            </w:r>
            <w:r>
              <w:rPr>
                <w:rFonts w:hint="default" w:ascii="Cambria" w:hAnsi="Cambria" w:cs="Cambria"/>
                <w:sz w:val="20"/>
                <w:szCs w:val="20"/>
              </w:rPr>
              <w:t>, Londra: Palgrave Macmillan, 2017. ISBN 978-1-137-52851-1.</w:t>
            </w:r>
            <w:r>
              <w:rPr>
                <w:rFonts w:hint="default" w:ascii="Cambria" w:hAnsi="Cambria" w:cs="Cambria"/>
                <w:sz w:val="20"/>
                <w:szCs w:val="20"/>
              </w:rPr>
              <w:br w:type="textWrapping"/>
            </w:r>
          </w:p>
          <w:p w14:paraId="28D0D0F1">
            <w:pPr>
              <w:pStyle w:val="17"/>
              <w:keepNext w:val="0"/>
              <w:keepLines w:val="0"/>
              <w:widowControl/>
              <w:numPr>
                <w:ilvl w:val="0"/>
                <w:numId w:val="3"/>
              </w:numPr>
              <w:suppressLineNumbers w:val="0"/>
              <w:ind w:left="0" w:leftChars="0" w:firstLine="0" w:firstLineChars="0"/>
              <w:rPr>
                <w:rFonts w:hint="default" w:ascii="Cambria" w:hAnsi="Cambria"/>
                <w:sz w:val="20"/>
                <w:szCs w:val="20"/>
                <w:lang w:val="ro-RO"/>
              </w:rPr>
            </w:pPr>
            <w:r>
              <w:rPr>
                <w:rFonts w:hint="default" w:ascii="Cambria" w:hAnsi="Cambria" w:cs="Cambria"/>
                <w:sz w:val="20"/>
                <w:szCs w:val="20"/>
              </w:rPr>
              <w:t xml:space="preserve">Eugenio Barba, </w:t>
            </w:r>
            <w:r>
              <w:rPr>
                <w:rStyle w:val="13"/>
                <w:rFonts w:hint="default" w:ascii="Cambria" w:hAnsi="Cambria" w:cs="Cambria"/>
                <w:sz w:val="20"/>
                <w:szCs w:val="20"/>
              </w:rPr>
              <w:t>Casa în flăcări. Despre regie și dramaturgie</w:t>
            </w:r>
            <w:r>
              <w:rPr>
                <w:rFonts w:hint="default" w:ascii="Cambria" w:hAnsi="Cambria" w:cs="Cambria"/>
                <w:sz w:val="20"/>
                <w:szCs w:val="20"/>
              </w:rPr>
              <w:t>, traducere de Diana Cozma, București: Editura Nemira, colecția „Yorick”, 2013 (ediția a II-a). ISBN 978-606-579-756-3</w:t>
            </w:r>
            <w:r>
              <w:rPr>
                <w:rFonts w:hint="default" w:ascii="Cambria" w:hAnsi="Cambria" w:cs="Cambria"/>
                <w:sz w:val="20"/>
                <w:szCs w:val="20"/>
                <w:lang w:val="ro-RO"/>
              </w:rPr>
              <w:t>.</w:t>
            </w:r>
          </w:p>
        </w:tc>
      </w:tr>
      <w:tr w14:paraId="724C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4554D0C">
            <w:pPr>
              <w:spacing w:after="0" w:line="240" w:lineRule="auto"/>
              <w:rPr>
                <w:rFonts w:ascii="Cambria" w:hAnsi="Cambria"/>
                <w:sz w:val="20"/>
                <w:szCs w:val="20"/>
              </w:rPr>
            </w:pPr>
            <w:r>
              <w:rPr>
                <w:rFonts w:ascii="Cambria" w:hAnsi="Cambria"/>
                <w:sz w:val="20"/>
                <w:szCs w:val="20"/>
              </w:rPr>
              <w:t>8.2 Seminar / laborator</w:t>
            </w:r>
          </w:p>
        </w:tc>
        <w:tc>
          <w:tcPr>
            <w:tcW w:w="3119" w:type="dxa"/>
            <w:shd w:val="clear" w:color="auto" w:fill="auto"/>
            <w:vAlign w:val="center"/>
          </w:tcPr>
          <w:p w14:paraId="77799169">
            <w:pPr>
              <w:spacing w:after="0" w:line="240" w:lineRule="auto"/>
              <w:rPr>
                <w:rFonts w:ascii="Cambria" w:hAnsi="Cambria"/>
                <w:sz w:val="20"/>
                <w:szCs w:val="20"/>
              </w:rPr>
            </w:pPr>
            <w:r>
              <w:rPr>
                <w:rFonts w:ascii="Cambria" w:hAnsi="Cambria"/>
                <w:sz w:val="20"/>
                <w:szCs w:val="20"/>
              </w:rPr>
              <w:t>Metode de predare</w:t>
            </w:r>
          </w:p>
        </w:tc>
        <w:tc>
          <w:tcPr>
            <w:tcW w:w="2977" w:type="dxa"/>
            <w:shd w:val="clear" w:color="auto" w:fill="auto"/>
            <w:vAlign w:val="center"/>
          </w:tcPr>
          <w:p w14:paraId="0DCC5100">
            <w:pPr>
              <w:spacing w:after="0" w:line="240" w:lineRule="auto"/>
              <w:rPr>
                <w:rFonts w:ascii="Cambria" w:hAnsi="Cambria"/>
                <w:sz w:val="20"/>
                <w:szCs w:val="20"/>
              </w:rPr>
            </w:pPr>
            <w:r>
              <w:rPr>
                <w:rFonts w:ascii="Cambria" w:hAnsi="Cambria"/>
                <w:sz w:val="20"/>
                <w:szCs w:val="20"/>
              </w:rPr>
              <w:t>Observații</w:t>
            </w:r>
          </w:p>
        </w:tc>
      </w:tr>
      <w:tr w14:paraId="7473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224A07">
            <w:pPr>
              <w:numPr>
                <w:ilvl w:val="0"/>
                <w:numId w:val="4"/>
              </w:numPr>
              <w:spacing w:after="0" w:line="240" w:lineRule="auto"/>
              <w:rPr>
                <w:rFonts w:hint="default" w:ascii="Cambria" w:hAnsi="Cambria"/>
                <w:sz w:val="20"/>
                <w:szCs w:val="20"/>
                <w:lang w:val="ro-RO"/>
              </w:rPr>
            </w:pPr>
            <w:r>
              <w:rPr>
                <w:rStyle w:val="18"/>
                <w:rFonts w:hint="default" w:ascii="Cambria" w:hAnsi="Cambria" w:eastAsia="SimSun" w:cs="Cambria"/>
                <w:b w:val="0"/>
                <w:bCs w:val="0"/>
                <w:kern w:val="0"/>
                <w:sz w:val="20"/>
                <w:szCs w:val="20"/>
                <w:lang w:val="en-US" w:eastAsia="zh-CN" w:bidi="ar"/>
                <w14:ligatures w14:val="standardContextual"/>
              </w:rPr>
              <w:t>Selectarea textului sursă și analiza inițială</w:t>
            </w:r>
            <w:r>
              <w:rPr>
                <w:rFonts w:hint="default" w:ascii="Cambria" w:hAnsi="Cambria" w:eastAsia="SimSun" w:cs="Cambria"/>
                <w:b w:val="0"/>
                <w:bCs w:val="0"/>
                <w:kern w:val="0"/>
                <w:sz w:val="20"/>
                <w:szCs w:val="20"/>
                <w:lang w:val="en-US" w:eastAsia="zh-CN" w:bidi="ar"/>
                <w14:ligatures w14:val="standardContextual"/>
              </w:rPr>
              <w:t xml:space="preserve"> – fiecare student alege un roman/nuvelă/poem</w:t>
            </w:r>
          </w:p>
        </w:tc>
        <w:tc>
          <w:tcPr>
            <w:tcW w:w="3119" w:type="dxa"/>
            <w:shd w:val="clear" w:color="auto" w:fill="auto"/>
            <w:vAlign w:val="center"/>
          </w:tcPr>
          <w:p w14:paraId="7A7ED45E">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Atelier de brainstorming; discuții individuale</w:t>
            </w:r>
          </w:p>
        </w:tc>
        <w:tc>
          <w:tcPr>
            <w:tcW w:w="2977" w:type="dxa"/>
            <w:shd w:val="clear" w:color="auto" w:fill="auto"/>
            <w:vAlign w:val="center"/>
          </w:tcPr>
          <w:p w14:paraId="6EA614A7">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Lectură integrală a textului ales</w:t>
            </w:r>
          </w:p>
        </w:tc>
      </w:tr>
      <w:tr w14:paraId="0580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5F51FCC">
            <w:pPr>
              <w:numPr>
                <w:ilvl w:val="0"/>
                <w:numId w:val="4"/>
              </w:numPr>
              <w:spacing w:after="0" w:line="240" w:lineRule="auto"/>
              <w:ind w:left="0" w:leftChars="0" w:firstLine="0" w:firstLineChars="0"/>
              <w:rPr>
                <w:rFonts w:hint="default" w:ascii="Cambria" w:hAnsi="Cambria"/>
                <w:sz w:val="20"/>
                <w:szCs w:val="20"/>
                <w:lang w:val="ro-RO"/>
              </w:rPr>
            </w:pPr>
            <w:r>
              <w:rPr>
                <w:rStyle w:val="18"/>
                <w:rFonts w:hint="default" w:ascii="Cambria" w:hAnsi="Cambria" w:eastAsia="SimSun" w:cs="Cambria"/>
                <w:b w:val="0"/>
                <w:bCs w:val="0"/>
                <w:kern w:val="0"/>
                <w:sz w:val="20"/>
                <w:szCs w:val="20"/>
                <w:lang w:val="en-US" w:eastAsia="zh-CN" w:bidi="ar"/>
                <w14:ligatures w14:val="standardContextual"/>
              </w:rPr>
              <w:t>Extragerea nucleului dramatic</w:t>
            </w:r>
            <w:r>
              <w:rPr>
                <w:rFonts w:hint="default" w:ascii="Cambria" w:hAnsi="Cambria" w:eastAsia="SimSun" w:cs="Cambria"/>
                <w:b w:val="0"/>
                <w:bCs w:val="0"/>
                <w:kern w:val="0"/>
                <w:sz w:val="20"/>
                <w:szCs w:val="20"/>
                <w:lang w:val="en-US" w:eastAsia="zh-CN" w:bidi="ar"/>
                <w14:ligatures w14:val="standardContextual"/>
              </w:rPr>
              <w:t xml:space="preserve"> – identificarea momentului declanșator și a conflictelor</w:t>
            </w:r>
          </w:p>
        </w:tc>
        <w:tc>
          <w:tcPr>
            <w:tcW w:w="3119" w:type="dxa"/>
            <w:shd w:val="clear" w:color="auto" w:fill="auto"/>
            <w:vAlign w:val="center"/>
          </w:tcPr>
          <w:p w14:paraId="27D189C9">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Analiză de grup; fișe de structură</w:t>
            </w:r>
          </w:p>
        </w:tc>
        <w:tc>
          <w:tcPr>
            <w:tcW w:w="2977" w:type="dxa"/>
            <w:shd w:val="clear" w:color="auto" w:fill="auto"/>
            <w:vAlign w:val="center"/>
          </w:tcPr>
          <w:p w14:paraId="2C9FB219">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Fișă de structură cu momentele cheie</w:t>
            </w:r>
          </w:p>
        </w:tc>
      </w:tr>
      <w:tr w14:paraId="7D7D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06119C7">
            <w:pPr>
              <w:numPr>
                <w:ilvl w:val="0"/>
                <w:numId w:val="4"/>
              </w:numPr>
              <w:spacing w:after="0" w:line="240" w:lineRule="auto"/>
              <w:ind w:left="0" w:leftChars="0" w:firstLine="0" w:firstLineChars="0"/>
              <w:rPr>
                <w:rFonts w:hint="default" w:ascii="Cambria" w:hAnsi="Cambria"/>
                <w:sz w:val="20"/>
                <w:szCs w:val="20"/>
                <w:lang w:val="ro-RO"/>
              </w:rPr>
            </w:pPr>
            <w:r>
              <w:rPr>
                <w:rStyle w:val="18"/>
                <w:rFonts w:hint="default" w:ascii="Cambria" w:hAnsi="Cambria" w:eastAsia="SimSun" w:cs="Cambria"/>
                <w:b w:val="0"/>
                <w:bCs w:val="0"/>
                <w:kern w:val="0"/>
                <w:sz w:val="20"/>
                <w:szCs w:val="20"/>
                <w:lang w:val="en-US" w:eastAsia="zh-CN" w:bidi="ar"/>
                <w14:ligatures w14:val="standardContextual"/>
              </w:rPr>
              <w:t>Transformarea descrierii în acțiune scenică</w:t>
            </w:r>
            <w:r>
              <w:rPr>
                <w:rFonts w:hint="default" w:ascii="Cambria" w:hAnsi="Cambria" w:eastAsia="SimSun" w:cs="Cambria"/>
                <w:b w:val="0"/>
                <w:bCs w:val="0"/>
                <w:kern w:val="0"/>
                <w:sz w:val="20"/>
                <w:szCs w:val="20"/>
                <w:lang w:val="en-US" w:eastAsia="zh-CN" w:bidi="ar"/>
                <w14:ligatures w14:val="standardContextual"/>
              </w:rPr>
              <w:t xml:space="preserve"> – exercițiu pe textul propriu</w:t>
            </w:r>
          </w:p>
        </w:tc>
        <w:tc>
          <w:tcPr>
            <w:tcW w:w="3119" w:type="dxa"/>
            <w:shd w:val="clear" w:color="auto" w:fill="auto"/>
            <w:vAlign w:val="center"/>
          </w:tcPr>
          <w:p w14:paraId="4826A110">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Exercițiu individual cu prezentare; feedback</w:t>
            </w:r>
          </w:p>
        </w:tc>
        <w:tc>
          <w:tcPr>
            <w:tcW w:w="2977" w:type="dxa"/>
            <w:shd w:val="clear" w:color="auto" w:fill="auto"/>
            <w:vAlign w:val="center"/>
          </w:tcPr>
          <w:p w14:paraId="0CFDBE61">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Rescrierea unui paragraf descriptiv în acțiune</w:t>
            </w:r>
          </w:p>
        </w:tc>
      </w:tr>
      <w:tr w14:paraId="5C80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49417A7B">
            <w:pPr>
              <w:numPr>
                <w:ilvl w:val="0"/>
                <w:numId w:val="4"/>
              </w:numPr>
              <w:spacing w:after="0" w:line="240" w:lineRule="auto"/>
              <w:ind w:left="0" w:leftChars="0" w:firstLine="0" w:firstLineChars="0"/>
              <w:rPr>
                <w:rFonts w:hint="default" w:ascii="Cambria" w:hAnsi="Cambria"/>
                <w:sz w:val="20"/>
                <w:szCs w:val="20"/>
                <w:lang w:val="ro-RO"/>
              </w:rPr>
            </w:pPr>
            <w:r>
              <w:rPr>
                <w:rStyle w:val="18"/>
                <w:rFonts w:hint="default" w:ascii="Cambria" w:hAnsi="Cambria" w:eastAsia="SimSun" w:cs="Cambria"/>
                <w:b w:val="0"/>
                <w:bCs w:val="0"/>
                <w:kern w:val="0"/>
                <w:sz w:val="20"/>
                <w:szCs w:val="20"/>
                <w:lang w:val="en-US" w:eastAsia="zh-CN" w:bidi="ar"/>
                <w14:ligatures w14:val="standardContextual"/>
              </w:rPr>
              <w:t>Dramatizarea unei pagini de nuvelă</w:t>
            </w:r>
            <w:r>
              <w:rPr>
                <w:rFonts w:hint="default" w:ascii="Cambria" w:hAnsi="Cambria" w:eastAsia="SimSun" w:cs="Cambria"/>
                <w:b w:val="0"/>
                <w:bCs w:val="0"/>
                <w:kern w:val="0"/>
                <w:sz w:val="20"/>
                <w:szCs w:val="20"/>
                <w:lang w:val="en-US" w:eastAsia="zh-CN" w:bidi="ar"/>
                <w14:ligatures w14:val="standardContextual"/>
              </w:rPr>
              <w:t xml:space="preserve"> – comprimare și structurare</w:t>
            </w:r>
          </w:p>
        </w:tc>
        <w:tc>
          <w:tcPr>
            <w:tcW w:w="3119" w:type="dxa"/>
            <w:shd w:val="clear" w:color="auto" w:fill="auto"/>
            <w:vAlign w:val="center"/>
          </w:tcPr>
          <w:p w14:paraId="70049786">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Lucru individual, discuție colectivă</w:t>
            </w:r>
          </w:p>
        </w:tc>
        <w:tc>
          <w:tcPr>
            <w:tcW w:w="2977" w:type="dxa"/>
            <w:shd w:val="clear" w:color="auto" w:fill="auto"/>
            <w:vAlign w:val="center"/>
          </w:tcPr>
          <w:p w14:paraId="7B35DD85">
            <w:pPr>
              <w:spacing w:after="0" w:line="240" w:lineRule="auto"/>
              <w:rPr>
                <w:rFonts w:ascii="Cambria" w:hAnsi="Cambria"/>
                <w:sz w:val="20"/>
                <w:szCs w:val="20"/>
              </w:rPr>
            </w:pPr>
            <w:r>
              <w:rPr>
                <w:rFonts w:hint="default" w:ascii="Cambria" w:hAnsi="Cambria" w:eastAsia="SimSun" w:cs="Cambria"/>
                <w:b w:val="0"/>
                <w:bCs w:val="0"/>
                <w:kern w:val="0"/>
                <w:sz w:val="20"/>
                <w:szCs w:val="20"/>
                <w:lang w:val="en-US" w:eastAsia="zh-CN" w:bidi="ar"/>
                <w14:ligatures w14:val="standardContextual"/>
              </w:rPr>
              <w:t>Schiță de scenariu (1</w:t>
            </w:r>
            <w:r>
              <w:rPr>
                <w:rFonts w:hint="default" w:ascii="Cambria" w:hAnsi="Cambria" w:eastAsia="SimSun" w:cs="Cambria"/>
                <w:b w:val="0"/>
                <w:bCs w:val="0"/>
                <w:kern w:val="0"/>
                <w:sz w:val="20"/>
                <w:szCs w:val="20"/>
                <w:lang w:val="en-US" w:eastAsia="zh-CN" w:bidi="ar"/>
                <w14:ligatures w14:val="standardContextual"/>
              </w:rPr>
              <w:noBreakHyphen/>
            </w:r>
            <w:r>
              <w:rPr>
                <w:rFonts w:hint="default" w:ascii="Cambria" w:hAnsi="Cambria" w:eastAsia="SimSun" w:cs="Cambria"/>
                <w:b w:val="0"/>
                <w:bCs w:val="0"/>
                <w:kern w:val="0"/>
                <w:sz w:val="20"/>
                <w:szCs w:val="20"/>
                <w:lang w:val="en-US" w:eastAsia="zh-CN" w:bidi="ar"/>
                <w14:ligatures w14:val="standardContextual"/>
              </w:rPr>
              <w:t>2 pagini)</w:t>
            </w:r>
          </w:p>
        </w:tc>
      </w:tr>
      <w:tr w14:paraId="5885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48441BC6">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Adaptarea unui poem</w:t>
            </w:r>
            <w:r>
              <w:rPr>
                <w:rFonts w:hint="default" w:ascii="Cambria" w:hAnsi="Cambria" w:eastAsia="SimSun" w:cs="Cambria"/>
                <w:b w:val="0"/>
                <w:bCs w:val="0"/>
                <w:kern w:val="0"/>
                <w:sz w:val="20"/>
                <w:szCs w:val="20"/>
                <w:lang w:val="en-US" w:eastAsia="zh-CN" w:bidi="ar"/>
                <w14:ligatures w14:val="standardContextual"/>
              </w:rPr>
              <w:t xml:space="preserve"> – transpunere în monolog sau secvență fizică</w:t>
            </w:r>
          </w:p>
        </w:tc>
        <w:tc>
          <w:tcPr>
            <w:tcW w:w="3119" w:type="dxa"/>
            <w:shd w:val="clear" w:color="auto" w:fill="auto"/>
            <w:vAlign w:val="center"/>
          </w:tcPr>
          <w:p w14:paraId="682E6704">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Exercițiu practic; prezentări scurte</w:t>
            </w:r>
          </w:p>
        </w:tc>
        <w:tc>
          <w:tcPr>
            <w:tcW w:w="2977" w:type="dxa"/>
            <w:shd w:val="clear" w:color="auto" w:fill="auto"/>
            <w:vAlign w:val="center"/>
          </w:tcPr>
          <w:p w14:paraId="6773B864">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Selecție de poezie și propunere de abordare</w:t>
            </w:r>
          </w:p>
        </w:tc>
      </w:tr>
      <w:tr w14:paraId="2584E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34F1C41">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Dramatizarea unor materiale non</w:t>
            </w:r>
            <w:r>
              <w:rPr>
                <w:rStyle w:val="18"/>
                <w:rFonts w:hint="default" w:ascii="Cambria" w:hAnsi="Cambria" w:eastAsia="SimSun" w:cs="Cambria"/>
                <w:b w:val="0"/>
                <w:bCs w:val="0"/>
                <w:kern w:val="0"/>
                <w:sz w:val="20"/>
                <w:szCs w:val="20"/>
                <w:lang w:val="en-US" w:eastAsia="zh-CN" w:bidi="ar"/>
                <w14:ligatures w14:val="standardContextual"/>
              </w:rPr>
              <w:noBreakHyphen/>
            </w:r>
            <w:r>
              <w:rPr>
                <w:rStyle w:val="18"/>
                <w:rFonts w:hint="default" w:ascii="Cambria" w:hAnsi="Cambria" w:eastAsia="SimSun" w:cs="Cambria"/>
                <w:b w:val="0"/>
                <w:bCs w:val="0"/>
                <w:kern w:val="0"/>
                <w:sz w:val="20"/>
                <w:szCs w:val="20"/>
                <w:lang w:val="en-US" w:eastAsia="zh-CN" w:bidi="ar"/>
                <w14:ligatures w14:val="standardContextual"/>
              </w:rPr>
              <w:t>ficționale</w:t>
            </w:r>
            <w:r>
              <w:rPr>
                <w:rFonts w:hint="default" w:ascii="Cambria" w:hAnsi="Cambria" w:eastAsia="SimSun" w:cs="Cambria"/>
                <w:b w:val="0"/>
                <w:bCs w:val="0"/>
                <w:kern w:val="0"/>
                <w:sz w:val="20"/>
                <w:szCs w:val="20"/>
                <w:lang w:val="en-US" w:eastAsia="zh-CN" w:bidi="ar"/>
                <w14:ligatures w14:val="standardContextual"/>
              </w:rPr>
              <w:t xml:space="preserve"> – jurnal, scrisoare, articol</w:t>
            </w:r>
          </w:p>
        </w:tc>
        <w:tc>
          <w:tcPr>
            <w:tcW w:w="3119" w:type="dxa"/>
            <w:shd w:val="clear" w:color="auto" w:fill="auto"/>
            <w:vAlign w:val="center"/>
          </w:tcPr>
          <w:p w14:paraId="00E8B1F9">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Atelier de grup; explorarea autenticului</w:t>
            </w:r>
          </w:p>
        </w:tc>
        <w:tc>
          <w:tcPr>
            <w:tcW w:w="2977" w:type="dxa"/>
            <w:shd w:val="clear" w:color="auto" w:fill="auto"/>
            <w:vAlign w:val="center"/>
          </w:tcPr>
          <w:p w14:paraId="33DE28D8">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Alegerea unui material și prime notițe</w:t>
            </w:r>
          </w:p>
        </w:tc>
      </w:tr>
      <w:tr w14:paraId="6179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19A1678C">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Studiu de caz: adaptarea unui capitol de roman</w:t>
            </w:r>
            <w:r>
              <w:rPr>
                <w:rFonts w:hint="default" w:ascii="Cambria" w:hAnsi="Cambria" w:eastAsia="SimSun" w:cs="Cambria"/>
                <w:b w:val="0"/>
                <w:bCs w:val="0"/>
                <w:kern w:val="0"/>
                <w:sz w:val="20"/>
                <w:szCs w:val="20"/>
                <w:lang w:val="en-US" w:eastAsia="zh-CN" w:bidi="ar"/>
                <w14:ligatures w14:val="standardContextual"/>
              </w:rPr>
              <w:t xml:space="preserve"> – analiza unei adaptări existente</w:t>
            </w:r>
          </w:p>
        </w:tc>
        <w:tc>
          <w:tcPr>
            <w:tcW w:w="3119" w:type="dxa"/>
            <w:shd w:val="clear" w:color="auto" w:fill="auto"/>
            <w:vAlign w:val="center"/>
          </w:tcPr>
          <w:p w14:paraId="03CCC2C3">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Vizionare fragment; discuție aplicată</w:t>
            </w:r>
          </w:p>
        </w:tc>
        <w:tc>
          <w:tcPr>
            <w:tcW w:w="2977" w:type="dxa"/>
            <w:shd w:val="clear" w:color="auto" w:fill="auto"/>
            <w:vAlign w:val="center"/>
          </w:tcPr>
          <w:p w14:paraId="46EAC02F">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Fişă critică de 1 pagină</w:t>
            </w:r>
          </w:p>
        </w:tc>
      </w:tr>
      <w:tr w14:paraId="688C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8C8A665">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Scrierea primului draft de scenariu</w:t>
            </w:r>
            <w:r>
              <w:rPr>
                <w:rFonts w:hint="default" w:ascii="Cambria" w:hAnsi="Cambria" w:eastAsia="SimSun" w:cs="Cambria"/>
                <w:b w:val="0"/>
                <w:bCs w:val="0"/>
                <w:kern w:val="0"/>
                <w:sz w:val="20"/>
                <w:szCs w:val="20"/>
                <w:lang w:val="en-US" w:eastAsia="zh-CN" w:bidi="ar"/>
                <w14:ligatures w14:val="standardContextual"/>
              </w:rPr>
              <w:t xml:space="preserve"> – dialog, indicații scenice, structură</w:t>
            </w:r>
          </w:p>
        </w:tc>
        <w:tc>
          <w:tcPr>
            <w:tcW w:w="3119" w:type="dxa"/>
            <w:shd w:val="clear" w:color="auto" w:fill="auto"/>
            <w:vAlign w:val="center"/>
          </w:tcPr>
          <w:p w14:paraId="692EFA85">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Atelier de scriere; feedback în perechi</w:t>
            </w:r>
          </w:p>
        </w:tc>
        <w:tc>
          <w:tcPr>
            <w:tcW w:w="2977" w:type="dxa"/>
            <w:shd w:val="clear" w:color="auto" w:fill="auto"/>
            <w:vAlign w:val="center"/>
          </w:tcPr>
          <w:p w14:paraId="7186DB35">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Prima versiune a primelor 3</w:t>
            </w:r>
            <w:r>
              <w:rPr>
                <w:rFonts w:hint="default" w:ascii="Cambria" w:hAnsi="Cambria" w:eastAsia="SimSun" w:cs="Cambria"/>
                <w:b w:val="0"/>
                <w:bCs w:val="0"/>
                <w:kern w:val="0"/>
                <w:sz w:val="20"/>
                <w:szCs w:val="20"/>
                <w:lang w:val="en-US" w:eastAsia="zh-CN" w:bidi="ar"/>
                <w14:ligatures w14:val="standardContextual"/>
              </w:rPr>
              <w:noBreakHyphen/>
            </w:r>
            <w:r>
              <w:rPr>
                <w:rFonts w:hint="default" w:ascii="Cambria" w:hAnsi="Cambria" w:eastAsia="SimSun" w:cs="Cambria"/>
                <w:b w:val="0"/>
                <w:bCs w:val="0"/>
                <w:kern w:val="0"/>
                <w:sz w:val="20"/>
                <w:szCs w:val="20"/>
                <w:lang w:val="en-US" w:eastAsia="zh-CN" w:bidi="ar"/>
                <w14:ligatures w14:val="standardContextual"/>
              </w:rPr>
              <w:t>5 pagini de scenariu</w:t>
            </w:r>
          </w:p>
        </w:tc>
      </w:tr>
      <w:tr w14:paraId="4D3C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1A94722">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Lectură la masă și feedback</w:t>
            </w:r>
            <w:r>
              <w:rPr>
                <w:rFonts w:hint="default" w:ascii="Cambria" w:hAnsi="Cambria" w:eastAsia="SimSun" w:cs="Cambria"/>
                <w:b w:val="0"/>
                <w:bCs w:val="0"/>
                <w:kern w:val="0"/>
                <w:sz w:val="20"/>
                <w:szCs w:val="20"/>
                <w:lang w:val="en-US" w:eastAsia="zh-CN" w:bidi="ar"/>
                <w14:ligatures w14:val="standardContextual"/>
              </w:rPr>
              <w:t xml:space="preserve"> – citirea scenariilor și discuție</w:t>
            </w:r>
          </w:p>
        </w:tc>
        <w:tc>
          <w:tcPr>
            <w:tcW w:w="3119" w:type="dxa"/>
            <w:shd w:val="clear" w:color="auto" w:fill="auto"/>
            <w:vAlign w:val="center"/>
          </w:tcPr>
          <w:p w14:paraId="13E32BB6">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Lectură în grup; observații constructive</w:t>
            </w:r>
          </w:p>
        </w:tc>
        <w:tc>
          <w:tcPr>
            <w:tcW w:w="2977" w:type="dxa"/>
            <w:shd w:val="clear" w:color="auto" w:fill="auto"/>
            <w:vAlign w:val="center"/>
          </w:tcPr>
          <w:p w14:paraId="2B3C4641">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Revizuirea scenariului după feedback</w:t>
            </w:r>
          </w:p>
        </w:tc>
      </w:tr>
      <w:tr w14:paraId="398F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5E09F0C">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Research vizual și concept scenic</w:t>
            </w:r>
            <w:r>
              <w:rPr>
                <w:rFonts w:hint="default" w:ascii="Cambria" w:hAnsi="Cambria" w:eastAsia="SimSun" w:cs="Cambria"/>
                <w:b w:val="0"/>
                <w:bCs w:val="0"/>
                <w:kern w:val="0"/>
                <w:sz w:val="20"/>
                <w:szCs w:val="20"/>
                <w:lang w:val="en-US" w:eastAsia="zh-CN" w:bidi="ar"/>
                <w14:ligatures w14:val="standardContextual"/>
              </w:rPr>
              <w:t xml:space="preserve"> – imagini, spații, costume</w:t>
            </w:r>
          </w:p>
        </w:tc>
        <w:tc>
          <w:tcPr>
            <w:tcW w:w="3119" w:type="dxa"/>
            <w:shd w:val="clear" w:color="auto" w:fill="auto"/>
            <w:vAlign w:val="center"/>
          </w:tcPr>
          <w:p w14:paraId="54E2C01D">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Prezentare de moodboard; discuție</w:t>
            </w:r>
          </w:p>
        </w:tc>
        <w:tc>
          <w:tcPr>
            <w:tcW w:w="2977" w:type="dxa"/>
            <w:shd w:val="clear" w:color="auto" w:fill="auto"/>
            <w:vAlign w:val="center"/>
          </w:tcPr>
          <w:p w14:paraId="71F5C26D">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Realizarea unui moodboard vizual</w:t>
            </w:r>
          </w:p>
        </w:tc>
      </w:tr>
      <w:tr w14:paraId="4278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19B16ED">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Prima repetiție cu scenele adaptate</w:t>
            </w:r>
            <w:r>
              <w:rPr>
                <w:rFonts w:hint="default" w:ascii="Cambria" w:hAnsi="Cambria" w:eastAsia="SimSun" w:cs="Cambria"/>
                <w:b w:val="0"/>
                <w:bCs w:val="0"/>
                <w:kern w:val="0"/>
                <w:sz w:val="20"/>
                <w:szCs w:val="20"/>
                <w:lang w:val="en-US" w:eastAsia="zh-CN" w:bidi="ar"/>
                <w14:ligatures w14:val="standardContextual"/>
              </w:rPr>
              <w:t xml:space="preserve"> – explorarea spațiului și a mișcării</w:t>
            </w:r>
          </w:p>
        </w:tc>
        <w:tc>
          <w:tcPr>
            <w:tcW w:w="3119" w:type="dxa"/>
            <w:shd w:val="clear" w:color="auto" w:fill="auto"/>
            <w:vAlign w:val="center"/>
          </w:tcPr>
          <w:p w14:paraId="06555C25">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Repetiție practică în studio; notițe</w:t>
            </w:r>
          </w:p>
        </w:tc>
        <w:tc>
          <w:tcPr>
            <w:tcW w:w="2977" w:type="dxa"/>
            <w:shd w:val="clear" w:color="auto" w:fill="auto"/>
            <w:vAlign w:val="center"/>
          </w:tcPr>
          <w:p w14:paraId="6BFB0104">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Aducerea materialelor necesare (rec</w:t>
            </w:r>
            <w:r>
              <w:rPr>
                <w:rFonts w:hint="default" w:ascii="Cambria" w:hAnsi="Cambria" w:eastAsia="SimSun" w:cs="Cambria"/>
                <w:b w:val="0"/>
                <w:bCs w:val="0"/>
                <w:kern w:val="0"/>
                <w:sz w:val="20"/>
                <w:szCs w:val="20"/>
                <w:lang w:val="ro-RO" w:eastAsia="zh-CN" w:bidi="ar"/>
                <w14:ligatures w14:val="standardContextual"/>
              </w:rPr>
              <w:t>uzită</w:t>
            </w:r>
            <w:r>
              <w:rPr>
                <w:rFonts w:hint="default" w:ascii="Cambria" w:hAnsi="Cambria" w:eastAsia="SimSun" w:cs="Cambria"/>
                <w:b w:val="0"/>
                <w:bCs w:val="0"/>
                <w:kern w:val="0"/>
                <w:sz w:val="20"/>
                <w:szCs w:val="20"/>
                <w:lang w:val="en-US" w:eastAsia="zh-CN" w:bidi="ar"/>
                <w14:ligatures w14:val="standardContextual"/>
              </w:rPr>
              <w:t>)</w:t>
            </w:r>
          </w:p>
        </w:tc>
      </w:tr>
      <w:tr w14:paraId="37847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F8B9D59">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Repetiție și finisare</w:t>
            </w:r>
            <w:r>
              <w:rPr>
                <w:rFonts w:hint="default" w:ascii="Cambria" w:hAnsi="Cambria" w:eastAsia="SimSun" w:cs="Cambria"/>
                <w:b w:val="0"/>
                <w:bCs w:val="0"/>
                <w:kern w:val="0"/>
                <w:sz w:val="20"/>
                <w:szCs w:val="20"/>
                <w:lang w:val="en-US" w:eastAsia="zh-CN" w:bidi="ar"/>
                <w14:ligatures w14:val="standardContextual"/>
              </w:rPr>
              <w:t xml:space="preserve"> – ajustarea ritmului, a relațiilor și a spațiului</w:t>
            </w:r>
          </w:p>
        </w:tc>
        <w:tc>
          <w:tcPr>
            <w:tcW w:w="3119" w:type="dxa"/>
            <w:shd w:val="clear" w:color="auto" w:fill="auto"/>
            <w:vAlign w:val="center"/>
          </w:tcPr>
          <w:p w14:paraId="0F9E8D0B">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Lucru ghidat; feedback individual</w:t>
            </w:r>
          </w:p>
        </w:tc>
        <w:tc>
          <w:tcPr>
            <w:tcW w:w="2977" w:type="dxa"/>
            <w:shd w:val="clear" w:color="auto" w:fill="auto"/>
            <w:vAlign w:val="center"/>
          </w:tcPr>
          <w:p w14:paraId="1EF14266">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Revizuire finală a scenei și a scenariului</w:t>
            </w:r>
          </w:p>
        </w:tc>
      </w:tr>
      <w:tr w14:paraId="1179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964C8B0">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Prezentarea finală a scenei dramatizate</w:t>
            </w:r>
            <w:r>
              <w:rPr>
                <w:rFonts w:hint="default" w:ascii="Cambria" w:hAnsi="Cambria" w:eastAsia="SimSun" w:cs="Cambria"/>
                <w:b w:val="0"/>
                <w:bCs w:val="0"/>
                <w:kern w:val="0"/>
                <w:sz w:val="20"/>
                <w:szCs w:val="20"/>
                <w:lang w:val="en-US" w:eastAsia="zh-CN" w:bidi="ar"/>
                <w14:ligatures w14:val="standardContextual"/>
              </w:rPr>
              <w:t xml:space="preserve"> – fiecare student își prezintă proiectul</w:t>
            </w:r>
          </w:p>
        </w:tc>
        <w:tc>
          <w:tcPr>
            <w:tcW w:w="3119" w:type="dxa"/>
            <w:shd w:val="clear" w:color="auto" w:fill="auto"/>
            <w:vAlign w:val="center"/>
          </w:tcPr>
          <w:p w14:paraId="05F57E5C">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Prezentări practice în fața colegilor</w:t>
            </w:r>
          </w:p>
        </w:tc>
        <w:tc>
          <w:tcPr>
            <w:tcW w:w="2977" w:type="dxa"/>
            <w:shd w:val="clear" w:color="auto" w:fill="auto"/>
            <w:vAlign w:val="center"/>
          </w:tcPr>
          <w:p w14:paraId="167F0D34">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Predarea caietului de regie complet</w:t>
            </w:r>
          </w:p>
        </w:tc>
      </w:tr>
      <w:tr w14:paraId="3F32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7CA56C0">
            <w:pPr>
              <w:numPr>
                <w:ilvl w:val="0"/>
                <w:numId w:val="4"/>
              </w:numPr>
              <w:spacing w:after="0" w:line="240" w:lineRule="auto"/>
              <w:ind w:left="0" w:leftChars="0" w:firstLine="0" w:firstLineChars="0"/>
              <w:rPr>
                <w:rStyle w:val="18"/>
                <w:rFonts w:hint="default" w:ascii="Cambria" w:hAnsi="Cambria" w:eastAsia="SimSun" w:cs="Cambria"/>
                <w:b w:val="0"/>
                <w:bCs w:val="0"/>
                <w:kern w:val="0"/>
                <w:sz w:val="20"/>
                <w:szCs w:val="20"/>
                <w:lang w:val="en-US" w:eastAsia="zh-CN" w:bidi="ar"/>
                <w14:ligatures w14:val="standardContextual"/>
              </w:rPr>
            </w:pPr>
            <w:r>
              <w:rPr>
                <w:rStyle w:val="18"/>
                <w:rFonts w:hint="default" w:ascii="Cambria" w:hAnsi="Cambria" w:eastAsia="SimSun" w:cs="Cambria"/>
                <w:b w:val="0"/>
                <w:bCs w:val="0"/>
                <w:kern w:val="0"/>
                <w:sz w:val="20"/>
                <w:szCs w:val="20"/>
                <w:lang w:val="en-US" w:eastAsia="zh-CN" w:bidi="ar"/>
                <w14:ligatures w14:val="standardContextual"/>
              </w:rPr>
              <w:t>Analiză și reflecție</w:t>
            </w:r>
            <w:r>
              <w:rPr>
                <w:rFonts w:hint="default" w:ascii="Cambria" w:hAnsi="Cambria" w:eastAsia="SimSun" w:cs="Cambria"/>
                <w:b w:val="0"/>
                <w:bCs w:val="0"/>
                <w:kern w:val="0"/>
                <w:sz w:val="20"/>
                <w:szCs w:val="20"/>
                <w:lang w:val="en-US" w:eastAsia="zh-CN" w:bidi="ar"/>
                <w14:ligatures w14:val="standardContextual"/>
              </w:rPr>
              <w:t xml:space="preserve"> – discuție pe procesele creative, dificultăți și reușite</w:t>
            </w:r>
          </w:p>
        </w:tc>
        <w:tc>
          <w:tcPr>
            <w:tcW w:w="3119" w:type="dxa"/>
            <w:shd w:val="clear" w:color="auto" w:fill="auto"/>
            <w:vAlign w:val="center"/>
          </w:tcPr>
          <w:p w14:paraId="7A0AAA9F">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Discuție colectivă; autoevaluare</w:t>
            </w:r>
          </w:p>
        </w:tc>
        <w:tc>
          <w:tcPr>
            <w:tcW w:w="2977" w:type="dxa"/>
            <w:shd w:val="clear" w:color="auto" w:fill="auto"/>
            <w:vAlign w:val="center"/>
          </w:tcPr>
          <w:p w14:paraId="0CD1C637">
            <w:pPr>
              <w:spacing w:after="0" w:line="240" w:lineRule="auto"/>
              <w:rPr>
                <w:rFonts w:hint="default" w:ascii="Cambria" w:hAnsi="Cambria" w:eastAsia="SimSun" w:cs="Cambria"/>
                <w:b w:val="0"/>
                <w:bCs w:val="0"/>
                <w:kern w:val="0"/>
                <w:sz w:val="20"/>
                <w:szCs w:val="20"/>
                <w:lang w:val="en-US" w:eastAsia="zh-CN" w:bidi="ar"/>
                <w14:ligatures w14:val="standardContextual"/>
              </w:rPr>
            </w:pPr>
            <w:r>
              <w:rPr>
                <w:rFonts w:hint="default" w:ascii="Cambria" w:hAnsi="Cambria" w:eastAsia="SimSun" w:cs="Cambria"/>
                <w:b w:val="0"/>
                <w:bCs w:val="0"/>
                <w:kern w:val="0"/>
                <w:sz w:val="20"/>
                <w:szCs w:val="20"/>
                <w:lang w:val="en-US" w:eastAsia="zh-CN" w:bidi="ar"/>
                <w14:ligatures w14:val="standardContextual"/>
              </w:rPr>
              <w:t>Reflecție scrisă (1 pag.) despre proces</w:t>
            </w:r>
          </w:p>
        </w:tc>
      </w:tr>
      <w:tr w14:paraId="2512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17978681">
            <w:pPr>
              <w:pStyle w:val="17"/>
              <w:keepNext w:val="0"/>
              <w:keepLines w:val="0"/>
              <w:widowControl/>
              <w:suppressLineNumbers w:val="0"/>
              <w:rPr>
                <w:rFonts w:hint="default" w:ascii="Cambria" w:hAnsi="Cambria" w:cs="Cambria"/>
                <w:b w:val="0"/>
                <w:bCs w:val="0"/>
                <w:sz w:val="20"/>
                <w:szCs w:val="20"/>
              </w:rPr>
            </w:pPr>
            <w:r>
              <w:rPr>
                <w:rFonts w:hint="default" w:ascii="Cambria" w:hAnsi="Cambria" w:cs="Cambria"/>
                <w:b w:val="0"/>
                <w:bCs w:val="0"/>
                <w:sz w:val="20"/>
                <w:szCs w:val="20"/>
              </w:rPr>
              <w:t>Bibliografie</w:t>
            </w:r>
            <w:r>
              <w:rPr>
                <w:rFonts w:hint="default" w:ascii="Cambria" w:hAnsi="Cambria" w:cs="Cambria"/>
                <w:b w:val="0"/>
                <w:bCs w:val="0"/>
                <w:sz w:val="20"/>
                <w:szCs w:val="20"/>
              </w:rPr>
              <w:br w:type="textWrapping"/>
            </w:r>
            <w:r>
              <w:rPr>
                <w:rFonts w:hint="default" w:ascii="Cambria" w:hAnsi="Cambria" w:cs="Cambria"/>
                <w:b w:val="0"/>
                <w:bCs w:val="0"/>
                <w:sz w:val="20"/>
                <w:szCs w:val="20"/>
              </w:rPr>
              <w:br w:type="textWrapping"/>
            </w:r>
            <w:r>
              <w:rPr>
                <w:rFonts w:hint="default" w:ascii="Cambria" w:hAnsi="Cambria" w:cs="Cambria"/>
                <w:b w:val="0"/>
                <w:bCs w:val="0"/>
                <w:sz w:val="20"/>
                <w:szCs w:val="20"/>
                <w:lang w:val="ro-RO"/>
              </w:rPr>
              <w:t xml:space="preserve">1. </w:t>
            </w:r>
            <w:r>
              <w:rPr>
                <w:rFonts w:hint="default" w:ascii="Cambria" w:hAnsi="Cambria" w:cs="Cambria"/>
                <w:b w:val="0"/>
                <w:bCs w:val="0"/>
                <w:sz w:val="20"/>
                <w:szCs w:val="20"/>
              </w:rPr>
              <w:t xml:space="preserve">Declan Donnellan, </w:t>
            </w:r>
            <w:r>
              <w:rPr>
                <w:rStyle w:val="13"/>
                <w:rFonts w:hint="default" w:ascii="Cambria" w:hAnsi="Cambria" w:cs="Cambria"/>
                <w:b w:val="0"/>
                <w:bCs w:val="0"/>
                <w:sz w:val="20"/>
                <w:szCs w:val="20"/>
              </w:rPr>
              <w:t>Actorul și ținta. Reguli și instrumente pentru jocul teatral</w:t>
            </w:r>
            <w:r>
              <w:rPr>
                <w:rFonts w:hint="default" w:ascii="Cambria" w:hAnsi="Cambria" w:cs="Cambria"/>
                <w:b w:val="0"/>
                <w:bCs w:val="0"/>
                <w:sz w:val="20"/>
                <w:szCs w:val="20"/>
              </w:rPr>
              <w:t>, traducere de Saviana Stănescu și Ioana Ieronim, București: Editura Unitext, 2006. ISBN 973-8129-52-6.</w:t>
            </w:r>
          </w:p>
          <w:p w14:paraId="5C9B7AFC">
            <w:pPr>
              <w:pStyle w:val="17"/>
              <w:keepNext w:val="0"/>
              <w:keepLines w:val="0"/>
              <w:widowControl/>
              <w:numPr>
                <w:ilvl w:val="0"/>
                <w:numId w:val="5"/>
              </w:numPr>
              <w:suppressLineNumbers w:val="0"/>
              <w:rPr>
                <w:rFonts w:hint="default" w:ascii="Cambria" w:hAnsi="Cambria" w:cs="Cambria"/>
                <w:b w:val="0"/>
                <w:bCs w:val="0"/>
                <w:sz w:val="20"/>
                <w:szCs w:val="20"/>
              </w:rPr>
            </w:pPr>
            <w:r>
              <w:rPr>
                <w:rFonts w:hint="default" w:ascii="Cambria" w:hAnsi="Cambria" w:cs="Cambria"/>
                <w:b w:val="0"/>
                <w:bCs w:val="0"/>
                <w:sz w:val="20"/>
                <w:szCs w:val="20"/>
              </w:rPr>
              <w:t xml:space="preserve">Keith Johnstone, </w:t>
            </w:r>
            <w:r>
              <w:rPr>
                <w:rStyle w:val="13"/>
                <w:rFonts w:hint="default" w:ascii="Cambria" w:hAnsi="Cambria" w:cs="Cambria"/>
                <w:b w:val="0"/>
                <w:bCs w:val="0"/>
                <w:sz w:val="20"/>
                <w:szCs w:val="20"/>
              </w:rPr>
              <w:t>Impro. Improvizația și teatrul</w:t>
            </w:r>
            <w:r>
              <w:rPr>
                <w:rFonts w:hint="default" w:ascii="Cambria" w:hAnsi="Cambria" w:cs="Cambria"/>
                <w:b w:val="0"/>
                <w:bCs w:val="0"/>
                <w:sz w:val="20"/>
                <w:szCs w:val="20"/>
              </w:rPr>
              <w:t>, traducere de Monica I. Anastase, București: Editura Tracus Arte, 2014. ISBN 978-606-664-233-6.</w:t>
            </w:r>
            <w:r>
              <w:rPr>
                <w:rFonts w:hint="default" w:ascii="Cambria" w:hAnsi="Cambria" w:cs="Cambria"/>
                <w:b w:val="0"/>
                <w:bCs w:val="0"/>
                <w:sz w:val="20"/>
                <w:szCs w:val="20"/>
              </w:rPr>
              <w:br w:type="textWrapping"/>
            </w:r>
          </w:p>
          <w:p w14:paraId="37B5B1BF">
            <w:pPr>
              <w:pStyle w:val="17"/>
              <w:keepNext w:val="0"/>
              <w:keepLines w:val="0"/>
              <w:widowControl/>
              <w:numPr>
                <w:ilvl w:val="0"/>
                <w:numId w:val="5"/>
              </w:numPr>
              <w:suppressLineNumbers w:val="0"/>
              <w:ind w:left="0" w:leftChars="0" w:firstLine="0" w:firstLineChars="0"/>
              <w:rPr>
                <w:rFonts w:hint="default" w:ascii="Cambria" w:hAnsi="Cambria" w:cs="Cambria"/>
                <w:b w:val="0"/>
                <w:bCs w:val="0"/>
                <w:sz w:val="20"/>
                <w:szCs w:val="20"/>
              </w:rPr>
            </w:pPr>
            <w:r>
              <w:rPr>
                <w:rFonts w:hint="default" w:ascii="Cambria" w:hAnsi="Cambria" w:cs="Cambria"/>
                <w:b w:val="0"/>
                <w:bCs w:val="0"/>
                <w:sz w:val="20"/>
                <w:szCs w:val="20"/>
              </w:rPr>
              <w:t xml:space="preserve">Jerzy Grotowski, </w:t>
            </w:r>
            <w:r>
              <w:rPr>
                <w:rStyle w:val="13"/>
                <w:rFonts w:hint="default" w:ascii="Cambria" w:hAnsi="Cambria" w:cs="Cambria"/>
                <w:b w:val="0"/>
                <w:bCs w:val="0"/>
                <w:sz w:val="20"/>
                <w:szCs w:val="20"/>
              </w:rPr>
              <w:t>Spre un teatru sărac</w:t>
            </w:r>
            <w:r>
              <w:rPr>
                <w:rFonts w:hint="default" w:ascii="Cambria" w:hAnsi="Cambria" w:cs="Cambria"/>
                <w:b w:val="0"/>
                <w:bCs w:val="0"/>
                <w:sz w:val="20"/>
                <w:szCs w:val="20"/>
              </w:rPr>
              <w:t>, traducere de George Banu și Mirella Nedelcu-Pătureau, București: Cheiron / Unitext, 2009 (ediția a II-a). ISBN 978-973-8129-95-5.</w:t>
            </w:r>
            <w:r>
              <w:rPr>
                <w:rFonts w:hint="default" w:ascii="Cambria" w:hAnsi="Cambria" w:cs="Cambria"/>
                <w:b w:val="0"/>
                <w:bCs w:val="0"/>
                <w:sz w:val="20"/>
                <w:szCs w:val="20"/>
              </w:rPr>
              <w:br w:type="textWrapping"/>
            </w:r>
          </w:p>
          <w:p w14:paraId="7A082C92">
            <w:pPr>
              <w:pStyle w:val="17"/>
              <w:keepNext w:val="0"/>
              <w:keepLines w:val="0"/>
              <w:widowControl/>
              <w:numPr>
                <w:ilvl w:val="0"/>
                <w:numId w:val="5"/>
              </w:numPr>
              <w:suppressLineNumbers w:val="0"/>
              <w:ind w:left="0" w:leftChars="0" w:firstLine="0" w:firstLineChars="0"/>
              <w:rPr>
                <w:rStyle w:val="18"/>
                <w:rFonts w:hint="default" w:ascii="Cambria" w:hAnsi="Cambria" w:cs="Cambria"/>
                <w:b w:val="0"/>
                <w:bCs w:val="0"/>
                <w:sz w:val="20"/>
                <w:szCs w:val="20"/>
              </w:rPr>
            </w:pPr>
            <w:r>
              <w:rPr>
                <w:rStyle w:val="18"/>
                <w:rFonts w:hint="default" w:ascii="Cambria" w:hAnsi="Cambria" w:cs="Cambria"/>
                <w:b w:val="0"/>
                <w:bCs w:val="0"/>
                <w:sz w:val="20"/>
                <w:szCs w:val="20"/>
              </w:rPr>
              <w:t xml:space="preserve">George Banu, </w:t>
            </w:r>
            <w:r>
              <w:rPr>
                <w:rStyle w:val="13"/>
                <w:rFonts w:hint="default" w:ascii="Cambria" w:hAnsi="Cambria" w:cs="Cambria"/>
                <w:b w:val="0"/>
                <w:bCs w:val="0"/>
                <w:sz w:val="20"/>
                <w:szCs w:val="20"/>
              </w:rPr>
              <w:t>Repetițiile și teatrul reînnoit. Secolul regiei</w:t>
            </w:r>
            <w:r>
              <w:rPr>
                <w:rStyle w:val="18"/>
                <w:rFonts w:hint="default" w:ascii="Cambria" w:hAnsi="Cambria" w:cs="Cambria"/>
                <w:b w:val="0"/>
                <w:bCs w:val="0"/>
                <w:sz w:val="20"/>
                <w:szCs w:val="20"/>
              </w:rPr>
              <w:t>, București: Editura Nemira, colecția „Yorick”, 2016 (ediția a II-a). ISBN 978-606-758-723-4.</w:t>
            </w:r>
            <w:r>
              <w:rPr>
                <w:rStyle w:val="18"/>
                <w:rFonts w:hint="default" w:ascii="Cambria" w:hAnsi="Cambria" w:cs="Cambria"/>
                <w:b w:val="0"/>
                <w:bCs w:val="0"/>
                <w:sz w:val="20"/>
                <w:szCs w:val="20"/>
              </w:rPr>
              <w:br w:type="textWrapping"/>
            </w:r>
          </w:p>
          <w:p w14:paraId="65706CFD">
            <w:pPr>
              <w:pStyle w:val="17"/>
              <w:keepNext w:val="0"/>
              <w:keepLines w:val="0"/>
              <w:widowControl/>
              <w:numPr>
                <w:ilvl w:val="0"/>
                <w:numId w:val="5"/>
              </w:numPr>
              <w:suppressLineNumbers w:val="0"/>
              <w:ind w:left="0" w:leftChars="0" w:firstLine="0" w:firstLineChars="0"/>
              <w:rPr>
                <w:rFonts w:ascii="Cambria" w:hAnsi="Cambria"/>
                <w:sz w:val="20"/>
                <w:szCs w:val="20"/>
              </w:rPr>
            </w:pPr>
            <w:r>
              <w:rPr>
                <w:rStyle w:val="18"/>
                <w:rFonts w:hint="default" w:ascii="Cambria" w:hAnsi="Cambria" w:cs="Cambria"/>
                <w:b w:val="0"/>
                <w:bCs w:val="0"/>
                <w:sz w:val="20"/>
                <w:szCs w:val="20"/>
                <w:lang w:val="ro-RO"/>
              </w:rPr>
              <w:t>Eu</w:t>
            </w:r>
            <w:r>
              <w:rPr>
                <w:rFonts w:hint="default" w:ascii="Cambria" w:hAnsi="Cambria" w:cs="Cambria"/>
                <w:b w:val="0"/>
                <w:bCs w:val="0"/>
                <w:sz w:val="20"/>
                <w:szCs w:val="20"/>
              </w:rPr>
              <w:t xml:space="preserve">genio Barba, </w:t>
            </w:r>
            <w:r>
              <w:rPr>
                <w:rStyle w:val="13"/>
                <w:rFonts w:hint="default" w:ascii="Cambria" w:hAnsi="Cambria" w:cs="Cambria"/>
                <w:b w:val="0"/>
                <w:bCs w:val="0"/>
                <w:sz w:val="20"/>
                <w:szCs w:val="20"/>
              </w:rPr>
              <w:t>Casa în flăcări. Despre regie și dramaturgie</w:t>
            </w:r>
            <w:r>
              <w:rPr>
                <w:rFonts w:hint="default" w:ascii="Cambria" w:hAnsi="Cambria" w:cs="Cambria"/>
                <w:b w:val="0"/>
                <w:bCs w:val="0"/>
                <w:sz w:val="20"/>
                <w:szCs w:val="20"/>
              </w:rPr>
              <w:t>, traducere de Diana Cozma, București: Editura Nemira, colecția „Yorick”, 2012 (ediția I). ISBN 978-606-579-531-2.</w:t>
            </w:r>
          </w:p>
        </w:tc>
      </w:tr>
    </w:tbl>
    <w:p w14:paraId="7D572155">
      <w:pPr>
        <w:spacing w:after="0" w:line="240" w:lineRule="auto"/>
        <w:ind w:left="-426"/>
        <w:rPr>
          <w:rFonts w:ascii="Cambria" w:hAnsi="Cambria"/>
          <w:b/>
          <w:sz w:val="20"/>
          <w:szCs w:val="20"/>
        </w:rPr>
      </w:pPr>
    </w:p>
    <w:p w14:paraId="4A5A0AA0">
      <w:pPr>
        <w:spacing w:after="0" w:line="240" w:lineRule="auto"/>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1"/>
      </w:tblGrid>
      <w:tr w14:paraId="6976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10491" w:type="dxa"/>
          </w:tcPr>
          <w:p w14:paraId="2B940AFD">
            <w:pPr>
              <w:pStyle w:val="35"/>
              <w:numPr>
                <w:ilvl w:val="0"/>
                <w:numId w:val="0"/>
              </w:numPr>
              <w:spacing w:before="120" w:after="0" w:line="240" w:lineRule="auto"/>
              <w:jc w:val="both"/>
              <w:rPr>
                <w:rFonts w:ascii="Cambria" w:hAnsi="Cambria"/>
                <w:sz w:val="20"/>
                <w:szCs w:val="20"/>
              </w:rPr>
            </w:pPr>
            <w:r>
              <w:rPr>
                <w:rFonts w:hint="default" w:ascii="Cambria" w:hAnsi="Cambria"/>
                <w:sz w:val="20"/>
                <w:szCs w:val="20"/>
              </w:rPr>
              <w:t>Disciplină „Regie de teatru (1)” dezvoltă competențe solicitate atât de comunitatea academică internațională, cât și de piața profesională. În universități de prestigiu (Ohio State University, UC San Diego), seminarul de dramatizare și adaptare este parte integrantă din formarea regizorilor; aceste cursuri analizează teoriile adaptării și îi antrenează pe studenți să dezvolte propriile proiecte de dramatizare</w:t>
            </w:r>
            <w:r>
              <w:rPr>
                <w:rFonts w:hint="default" w:ascii="Cambria" w:hAnsi="Cambria"/>
                <w:sz w:val="20"/>
                <w:szCs w:val="20"/>
                <w:lang w:val="ro-RO"/>
              </w:rPr>
              <w:t xml:space="preserve">. </w:t>
            </w:r>
            <w:r>
              <w:rPr>
                <w:rFonts w:hint="default" w:ascii="Cambria" w:hAnsi="Cambria"/>
                <w:sz w:val="20"/>
                <w:szCs w:val="20"/>
              </w:rPr>
              <w:t>La nivel profesional, fișa de competențe a directorilor de teatru subliniază că un regizor trebuie să „spargă un text, analizând și explorând personajele, relațiile și temele” și să „adapteze sau interpreteze un scenariu, colaborând cu dramaturgi”</w:t>
            </w:r>
            <w:r>
              <w:rPr>
                <w:rFonts w:hint="default" w:ascii="Cambria" w:hAnsi="Cambria"/>
                <w:sz w:val="20"/>
                <w:szCs w:val="20"/>
                <w:lang w:val="ro-RO"/>
              </w:rPr>
              <w:t xml:space="preserve">. </w:t>
            </w:r>
            <w:r>
              <w:rPr>
                <w:rFonts w:hint="default" w:ascii="Cambria" w:hAnsi="Cambria"/>
                <w:sz w:val="20"/>
                <w:szCs w:val="20"/>
              </w:rPr>
              <w:t>Această abordare cere creativitate, abilități de analiză și capacitatea de a adapta și rezolva probleme</w:t>
            </w:r>
            <w:r>
              <w:rPr>
                <w:rFonts w:hint="default" w:ascii="Cambria" w:hAnsi="Cambria"/>
                <w:sz w:val="20"/>
                <w:szCs w:val="20"/>
                <w:lang w:val="ro-RO"/>
              </w:rPr>
              <w:t xml:space="preserve">, </w:t>
            </w:r>
            <w:r>
              <w:rPr>
                <w:rFonts w:hint="default" w:ascii="Cambria" w:hAnsi="Cambria"/>
                <w:sz w:val="20"/>
                <w:szCs w:val="20"/>
              </w:rPr>
              <w:t>competențe cultivate în modulul de față. În plus, studiile de profil arată că regizorii trebuie să manifeste sensibilitate etică și responsabilitate față de autorii textelor</w:t>
            </w:r>
            <w:r>
              <w:rPr>
                <w:rFonts w:hint="default" w:ascii="Cambria" w:hAnsi="Cambria"/>
                <w:sz w:val="20"/>
                <w:szCs w:val="20"/>
                <w:lang w:val="ro-RO"/>
              </w:rPr>
              <w:t xml:space="preserve">, </w:t>
            </w:r>
            <w:r>
              <w:rPr>
                <w:rFonts w:hint="default" w:ascii="Cambria" w:hAnsi="Cambria"/>
                <w:sz w:val="20"/>
                <w:szCs w:val="20"/>
              </w:rPr>
              <w:t>aspect abordat în curs la tema despre drepturile de autor și deontologia adaptării. Astfel, conținuturile disciplinei sunt în concordanță cu așteptările comunității epistemice (prin integrarea teoriilor și metodologiilor adaptării), cu recomandările asociațiilor profesionale (prin accentul pe analiza textului și colaborarea cu autorii) și cu nevoile angajatorilor (prin formarea de competențe creative, analitice și de leadership regizoral).</w:t>
            </w:r>
          </w:p>
        </w:tc>
      </w:tr>
    </w:tbl>
    <w:p w14:paraId="7B13E652">
      <w:pPr>
        <w:rPr>
          <w:rFonts w:ascii="Cambria" w:hAnsi="Cambria"/>
          <w:sz w:val="20"/>
          <w:szCs w:val="20"/>
        </w:rPr>
      </w:pPr>
    </w:p>
    <w:p w14:paraId="20194EDF">
      <w:pPr>
        <w:spacing w:after="0"/>
        <w:ind w:hanging="425"/>
        <w:rPr>
          <w:rFonts w:ascii="Cambria" w:hAnsi="Cambria"/>
          <w:sz w:val="20"/>
          <w:szCs w:val="20"/>
        </w:rPr>
      </w:pPr>
      <w:r>
        <w:rPr>
          <w:rFonts w:ascii="Cambria" w:hAnsi="Cambria"/>
          <w:b/>
          <w:sz w:val="20"/>
          <w:szCs w:val="20"/>
        </w:rPr>
        <w:t>10. Evaluare</w:t>
      </w:r>
    </w:p>
    <w:tbl>
      <w:tblPr>
        <w:tblStyle w:val="12"/>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2550"/>
        <w:gridCol w:w="2409"/>
        <w:gridCol w:w="2694"/>
      </w:tblGrid>
      <w:tr w14:paraId="0662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shd w:val="clear" w:color="auto" w:fill="auto"/>
            <w:vAlign w:val="center"/>
          </w:tcPr>
          <w:p w14:paraId="2C2573E7">
            <w:pPr>
              <w:spacing w:after="0" w:line="240" w:lineRule="auto"/>
              <w:rPr>
                <w:rFonts w:ascii="Cambria" w:hAnsi="Cambria"/>
                <w:sz w:val="20"/>
                <w:szCs w:val="20"/>
              </w:rPr>
            </w:pPr>
            <w:r>
              <w:rPr>
                <w:rFonts w:ascii="Cambria" w:hAnsi="Cambria"/>
                <w:sz w:val="20"/>
                <w:szCs w:val="20"/>
              </w:rPr>
              <w:t>Tip activitate</w:t>
            </w:r>
          </w:p>
        </w:tc>
        <w:tc>
          <w:tcPr>
            <w:tcW w:w="2550" w:type="dxa"/>
            <w:shd w:val="clear" w:color="auto" w:fill="auto"/>
            <w:vAlign w:val="center"/>
          </w:tcPr>
          <w:p w14:paraId="33DC37B7">
            <w:pPr>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shd w:val="clear" w:color="auto" w:fill="auto"/>
            <w:vAlign w:val="center"/>
          </w:tcPr>
          <w:p w14:paraId="2252364F">
            <w:pPr>
              <w:spacing w:after="0" w:line="240" w:lineRule="auto"/>
              <w:rPr>
                <w:rFonts w:ascii="Cambria" w:hAnsi="Cambria"/>
                <w:sz w:val="20"/>
                <w:szCs w:val="20"/>
              </w:rPr>
            </w:pPr>
            <w:r>
              <w:rPr>
                <w:rFonts w:ascii="Cambria" w:hAnsi="Cambria"/>
                <w:sz w:val="20"/>
                <w:szCs w:val="20"/>
              </w:rPr>
              <w:t>10.2 Metode de evaluare</w:t>
            </w:r>
          </w:p>
        </w:tc>
        <w:tc>
          <w:tcPr>
            <w:tcW w:w="2694" w:type="dxa"/>
            <w:shd w:val="clear" w:color="auto" w:fill="auto"/>
            <w:vAlign w:val="center"/>
          </w:tcPr>
          <w:p w14:paraId="46FA2B79">
            <w:pPr>
              <w:spacing w:after="0" w:line="240" w:lineRule="auto"/>
              <w:rPr>
                <w:rFonts w:ascii="Cambria" w:hAnsi="Cambria"/>
                <w:sz w:val="20"/>
                <w:szCs w:val="20"/>
              </w:rPr>
            </w:pPr>
            <w:r>
              <w:rPr>
                <w:rFonts w:ascii="Cambria" w:hAnsi="Cambria"/>
                <w:sz w:val="20"/>
                <w:szCs w:val="20"/>
              </w:rPr>
              <w:t>10.3 Pondere din nota finală</w:t>
            </w:r>
          </w:p>
        </w:tc>
      </w:tr>
      <w:tr w14:paraId="3DDA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0E948466">
            <w:pPr>
              <w:spacing w:after="0" w:line="240" w:lineRule="auto"/>
              <w:rPr>
                <w:rFonts w:ascii="Cambria" w:hAnsi="Cambria"/>
                <w:sz w:val="20"/>
                <w:szCs w:val="20"/>
              </w:rPr>
            </w:pPr>
            <w:r>
              <w:rPr>
                <w:rFonts w:ascii="Cambria" w:hAnsi="Cambria"/>
                <w:sz w:val="20"/>
                <w:szCs w:val="20"/>
              </w:rPr>
              <w:t>10.4 Curs</w:t>
            </w:r>
          </w:p>
        </w:tc>
        <w:tc>
          <w:tcPr>
            <w:tcW w:w="2550" w:type="dxa"/>
            <w:shd w:val="clear" w:color="auto" w:fill="auto"/>
            <w:vAlign w:val="center"/>
          </w:tcPr>
          <w:p w14:paraId="72A7F566">
            <w:pPr>
              <w:spacing w:after="0" w:line="240" w:lineRule="auto"/>
              <w:rPr>
                <w:rFonts w:ascii="Cambria" w:hAnsi="Cambria"/>
                <w:sz w:val="20"/>
                <w:szCs w:val="20"/>
              </w:rPr>
            </w:pPr>
            <w:r>
              <w:rPr>
                <w:rFonts w:hint="default" w:ascii="Cambria" w:hAnsi="Cambria" w:eastAsia="SimSun" w:cs="Cambria"/>
                <w:sz w:val="20"/>
                <w:szCs w:val="20"/>
              </w:rPr>
              <w:t>– Înțelegerea conceptelor teoretice de dramatizare și adaptare (definiții, tipologii, structuri dramatice, etică de autor).</w:t>
            </w:r>
            <w:r>
              <w:rPr>
                <w:rFonts w:hint="default" w:ascii="Cambria" w:hAnsi="Cambria" w:eastAsia="SimSun" w:cs="Cambria"/>
                <w:sz w:val="20"/>
                <w:szCs w:val="20"/>
              </w:rPr>
              <w:br w:type="textWrapping"/>
            </w:r>
            <w:r>
              <w:rPr>
                <w:rFonts w:hint="default" w:ascii="Cambria" w:hAnsi="Cambria" w:eastAsia="SimSun" w:cs="Cambria"/>
                <w:sz w:val="20"/>
                <w:szCs w:val="20"/>
              </w:rPr>
              <w:t>– Capacitatea de a analiza un text literar din perspectivă scenică și de a identifica nucleul dramatic.</w:t>
            </w:r>
            <w:r>
              <w:rPr>
                <w:rFonts w:hint="default" w:ascii="Cambria" w:hAnsi="Cambria" w:eastAsia="SimSun" w:cs="Cambria"/>
                <w:sz w:val="20"/>
                <w:szCs w:val="20"/>
              </w:rPr>
              <w:br w:type="textWrapping"/>
            </w:r>
            <w:r>
              <w:rPr>
                <w:rFonts w:hint="default" w:ascii="Cambria" w:hAnsi="Cambria" w:eastAsia="SimSun" w:cs="Cambria"/>
                <w:sz w:val="20"/>
                <w:szCs w:val="20"/>
              </w:rPr>
              <w:t>– Coerența și claritatea argumentelor prezentate în scris sau oral pe parcursul cursului.</w:t>
            </w:r>
          </w:p>
        </w:tc>
        <w:tc>
          <w:tcPr>
            <w:tcW w:w="2409" w:type="dxa"/>
            <w:shd w:val="clear" w:color="auto" w:fill="auto"/>
            <w:vAlign w:val="center"/>
          </w:tcPr>
          <w:p w14:paraId="490A6A98">
            <w:pPr>
              <w:spacing w:after="0" w:line="240" w:lineRule="auto"/>
              <w:rPr>
                <w:rFonts w:hint="default" w:ascii="Cambria" w:hAnsi="Cambria"/>
                <w:sz w:val="20"/>
                <w:szCs w:val="20"/>
              </w:rPr>
            </w:pPr>
            <w:r>
              <w:rPr>
                <w:rFonts w:hint="default" w:ascii="Cambria" w:hAnsi="Cambria"/>
                <w:sz w:val="20"/>
                <w:szCs w:val="20"/>
              </w:rPr>
              <w:t>– Fișe de lectură și eseuri scurte pe teme teoretice discutate la curs.</w:t>
            </w:r>
          </w:p>
          <w:p w14:paraId="457E373B">
            <w:pPr>
              <w:spacing w:after="0" w:line="240" w:lineRule="auto"/>
              <w:rPr>
                <w:rFonts w:hint="default" w:ascii="Cambria" w:hAnsi="Cambria"/>
                <w:sz w:val="20"/>
                <w:szCs w:val="20"/>
              </w:rPr>
            </w:pPr>
            <w:r>
              <w:rPr>
                <w:rFonts w:hint="default" w:ascii="Cambria" w:hAnsi="Cambria"/>
                <w:sz w:val="20"/>
                <w:szCs w:val="20"/>
              </w:rPr>
              <w:t>– Test/colocviu intermediar asupra conceptelor și metodelor prezentate.</w:t>
            </w:r>
          </w:p>
          <w:p w14:paraId="307E3AAC">
            <w:pPr>
              <w:spacing w:after="0" w:line="240" w:lineRule="auto"/>
              <w:rPr>
                <w:rFonts w:ascii="Cambria" w:hAnsi="Cambria"/>
                <w:sz w:val="20"/>
                <w:szCs w:val="20"/>
              </w:rPr>
            </w:pPr>
            <w:r>
              <w:rPr>
                <w:rFonts w:hint="default" w:ascii="Cambria" w:hAnsi="Cambria"/>
                <w:sz w:val="20"/>
                <w:szCs w:val="20"/>
              </w:rPr>
              <w:t>– Colocviu final (oral sau scris), centrat pe analiza unui text și explicarea deciziilor de adaptare.</w:t>
            </w:r>
          </w:p>
        </w:tc>
        <w:tc>
          <w:tcPr>
            <w:tcW w:w="2694" w:type="dxa"/>
            <w:shd w:val="clear" w:color="auto" w:fill="auto"/>
            <w:vAlign w:val="center"/>
          </w:tcPr>
          <w:p w14:paraId="759DB29F">
            <w:pPr>
              <w:spacing w:after="0" w:line="240" w:lineRule="auto"/>
              <w:rPr>
                <w:rFonts w:hint="default" w:ascii="Cambria" w:hAnsi="Cambria"/>
                <w:sz w:val="20"/>
                <w:szCs w:val="20"/>
                <w:lang w:val="ro-RO"/>
              </w:rPr>
            </w:pPr>
            <w:r>
              <w:rPr>
                <w:rFonts w:hint="default" w:ascii="Cambria" w:hAnsi="Cambria"/>
                <w:sz w:val="20"/>
                <w:szCs w:val="20"/>
                <w:lang w:val="ro-RO"/>
              </w:rPr>
              <w:t>30%</w:t>
            </w:r>
          </w:p>
        </w:tc>
      </w:tr>
      <w:tr w14:paraId="685D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7653" w:type="dxa"/>
          <w:trHeight w:val="312" w:hRule="atLeast"/>
        </w:trPr>
        <w:tc>
          <w:tcPr>
            <w:tcW w:w="2839" w:type="dxa"/>
            <w:vMerge w:val="continue"/>
            <w:shd w:val="clear" w:color="auto" w:fill="auto"/>
            <w:vAlign w:val="center"/>
          </w:tcPr>
          <w:p w14:paraId="7F537EC0">
            <w:pPr>
              <w:spacing w:after="0" w:line="240" w:lineRule="auto"/>
              <w:rPr>
                <w:rFonts w:ascii="Cambria" w:hAnsi="Cambria"/>
                <w:sz w:val="20"/>
                <w:szCs w:val="20"/>
              </w:rPr>
            </w:pPr>
          </w:p>
        </w:tc>
      </w:tr>
      <w:tr w14:paraId="4000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620B4533">
            <w:pPr>
              <w:spacing w:after="0" w:line="240" w:lineRule="auto"/>
              <w:ind w:right="-150"/>
              <w:rPr>
                <w:rFonts w:ascii="Cambria" w:hAnsi="Cambria"/>
                <w:sz w:val="20"/>
                <w:szCs w:val="20"/>
              </w:rPr>
            </w:pPr>
            <w:r>
              <w:rPr>
                <w:rFonts w:ascii="Cambria" w:hAnsi="Cambria"/>
                <w:sz w:val="20"/>
                <w:szCs w:val="20"/>
              </w:rPr>
              <w:t>10.5 Seminar/laborator</w:t>
            </w:r>
          </w:p>
        </w:tc>
        <w:tc>
          <w:tcPr>
            <w:tcW w:w="2550" w:type="dxa"/>
            <w:shd w:val="clear" w:color="auto" w:fill="auto"/>
            <w:vAlign w:val="center"/>
          </w:tcPr>
          <w:p w14:paraId="776B4E1C">
            <w:pPr>
              <w:spacing w:after="0" w:line="240" w:lineRule="auto"/>
              <w:rPr>
                <w:rFonts w:hint="default" w:ascii="Cambria" w:hAnsi="Cambria"/>
                <w:sz w:val="20"/>
                <w:szCs w:val="20"/>
              </w:rPr>
            </w:pPr>
            <w:r>
              <w:rPr>
                <w:rFonts w:hint="default" w:ascii="Cambria" w:hAnsi="Cambria"/>
                <w:sz w:val="20"/>
                <w:szCs w:val="20"/>
              </w:rPr>
              <w:t>– Aplicarea coerentă a noțiunilor teoretice în exercițiile de dramatizare (structură, dialog, acțiune).</w:t>
            </w:r>
          </w:p>
          <w:p w14:paraId="358E387B">
            <w:pPr>
              <w:spacing w:after="0" w:line="240" w:lineRule="auto"/>
              <w:rPr>
                <w:rFonts w:hint="default" w:ascii="Cambria" w:hAnsi="Cambria"/>
                <w:sz w:val="20"/>
                <w:szCs w:val="20"/>
              </w:rPr>
            </w:pPr>
            <w:r>
              <w:rPr>
                <w:rFonts w:hint="default" w:ascii="Cambria" w:hAnsi="Cambria"/>
                <w:sz w:val="20"/>
                <w:szCs w:val="20"/>
              </w:rPr>
              <w:t>– Creativitatea și consistența proiectului de dramatizare: selecția și adaptarea textului, claritatea conceptului regizoral, originalitate.</w:t>
            </w:r>
          </w:p>
          <w:p w14:paraId="79505D86">
            <w:pPr>
              <w:spacing w:after="0" w:line="240" w:lineRule="auto"/>
              <w:rPr>
                <w:rFonts w:hint="default" w:ascii="Cambria" w:hAnsi="Cambria"/>
                <w:sz w:val="20"/>
                <w:szCs w:val="20"/>
              </w:rPr>
            </w:pPr>
            <w:r>
              <w:rPr>
                <w:rFonts w:hint="default" w:ascii="Cambria" w:hAnsi="Cambria"/>
                <w:sz w:val="20"/>
                <w:szCs w:val="20"/>
              </w:rPr>
              <w:t>– Capacitatea de colaborare și receptivitatea la feedback în lucrul de atelier.</w:t>
            </w:r>
          </w:p>
          <w:p w14:paraId="656A98BB">
            <w:pPr>
              <w:spacing w:after="0" w:line="240" w:lineRule="auto"/>
              <w:rPr>
                <w:rFonts w:ascii="Cambria" w:hAnsi="Cambria"/>
                <w:sz w:val="20"/>
                <w:szCs w:val="20"/>
              </w:rPr>
            </w:pPr>
            <w:r>
              <w:rPr>
                <w:rFonts w:hint="default" w:ascii="Cambria" w:hAnsi="Cambria"/>
                <w:sz w:val="20"/>
                <w:szCs w:val="20"/>
              </w:rPr>
              <w:t>– Calitatea portofoliului/„caietului de regie”: documentarea procesului, reflecții critice, schițe, sinopsis și drafturi.</w:t>
            </w:r>
          </w:p>
        </w:tc>
        <w:tc>
          <w:tcPr>
            <w:tcW w:w="2409" w:type="dxa"/>
            <w:shd w:val="clear" w:color="auto" w:fill="auto"/>
            <w:vAlign w:val="center"/>
          </w:tcPr>
          <w:p w14:paraId="2F0462F7">
            <w:pPr>
              <w:spacing w:after="0" w:line="240" w:lineRule="auto"/>
              <w:rPr>
                <w:rFonts w:hint="default" w:ascii="Cambria" w:hAnsi="Cambria"/>
                <w:sz w:val="20"/>
                <w:szCs w:val="20"/>
              </w:rPr>
            </w:pPr>
            <w:r>
              <w:rPr>
                <w:rFonts w:hint="default" w:ascii="Cambria" w:hAnsi="Cambria"/>
                <w:sz w:val="20"/>
                <w:szCs w:val="20"/>
              </w:rPr>
              <w:t>– Observare continuă și feedback formativ la fiecare exercițiu practic.</w:t>
            </w:r>
          </w:p>
          <w:p w14:paraId="55B41553">
            <w:pPr>
              <w:spacing w:after="0" w:line="240" w:lineRule="auto"/>
              <w:rPr>
                <w:rFonts w:hint="default" w:ascii="Cambria" w:hAnsi="Cambria"/>
                <w:sz w:val="20"/>
                <w:szCs w:val="20"/>
              </w:rPr>
            </w:pPr>
            <w:r>
              <w:rPr>
                <w:rFonts w:hint="default" w:ascii="Cambria" w:hAnsi="Cambria"/>
                <w:sz w:val="20"/>
                <w:szCs w:val="20"/>
              </w:rPr>
              <w:t>– Evaluarea etapizată a drafturilor de scenariu și a exercițiilor de laborator (3–4 verificări pe parcursul semestrului).</w:t>
            </w:r>
          </w:p>
          <w:p w14:paraId="45722AA8">
            <w:pPr>
              <w:spacing w:after="0" w:line="240" w:lineRule="auto"/>
              <w:rPr>
                <w:rFonts w:ascii="Cambria" w:hAnsi="Cambria"/>
                <w:sz w:val="20"/>
                <w:szCs w:val="20"/>
              </w:rPr>
            </w:pPr>
            <w:r>
              <w:rPr>
                <w:rFonts w:hint="default" w:ascii="Cambria" w:hAnsi="Cambria"/>
                <w:sz w:val="20"/>
                <w:szCs w:val="20"/>
              </w:rPr>
              <w:t>– Evaluare finală prin prezentarea scenei dramatizate și susținerea portofoliului complet.</w:t>
            </w:r>
          </w:p>
        </w:tc>
        <w:tc>
          <w:tcPr>
            <w:tcW w:w="2694" w:type="dxa"/>
            <w:shd w:val="clear" w:color="auto" w:fill="auto"/>
            <w:vAlign w:val="center"/>
          </w:tcPr>
          <w:p w14:paraId="47DB3803">
            <w:pPr>
              <w:spacing w:after="0" w:line="240" w:lineRule="auto"/>
              <w:rPr>
                <w:rFonts w:hint="default" w:ascii="Cambria" w:hAnsi="Cambria"/>
                <w:sz w:val="20"/>
                <w:szCs w:val="20"/>
                <w:lang w:val="ro-RO"/>
              </w:rPr>
            </w:pPr>
            <w:r>
              <w:rPr>
                <w:rFonts w:hint="default" w:ascii="Cambria" w:hAnsi="Cambria"/>
                <w:sz w:val="20"/>
                <w:szCs w:val="20"/>
                <w:lang w:val="ro-RO"/>
              </w:rPr>
              <w:t>70%</w:t>
            </w:r>
          </w:p>
        </w:tc>
      </w:tr>
      <w:tr w14:paraId="2C56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continue"/>
            <w:shd w:val="clear" w:color="auto" w:fill="auto"/>
            <w:vAlign w:val="center"/>
          </w:tcPr>
          <w:p w14:paraId="734B5590">
            <w:pPr>
              <w:spacing w:after="0" w:line="240" w:lineRule="auto"/>
              <w:ind w:right="-150"/>
              <w:rPr>
                <w:rFonts w:ascii="Cambria" w:hAnsi="Cambria"/>
                <w:sz w:val="20"/>
                <w:szCs w:val="20"/>
              </w:rPr>
            </w:pPr>
          </w:p>
        </w:tc>
        <w:tc>
          <w:tcPr>
            <w:tcW w:w="2550" w:type="dxa"/>
            <w:shd w:val="clear" w:color="auto" w:fill="auto"/>
            <w:vAlign w:val="center"/>
          </w:tcPr>
          <w:p w14:paraId="2C1E6256">
            <w:pPr>
              <w:spacing w:after="0" w:line="240" w:lineRule="auto"/>
              <w:rPr>
                <w:rFonts w:ascii="Cambria" w:hAnsi="Cambria"/>
                <w:sz w:val="20"/>
                <w:szCs w:val="20"/>
              </w:rPr>
            </w:pPr>
          </w:p>
        </w:tc>
        <w:tc>
          <w:tcPr>
            <w:tcW w:w="2409" w:type="dxa"/>
            <w:shd w:val="clear" w:color="auto" w:fill="auto"/>
            <w:vAlign w:val="center"/>
          </w:tcPr>
          <w:p w14:paraId="24AF3BCF">
            <w:pPr>
              <w:spacing w:after="0" w:line="240" w:lineRule="auto"/>
              <w:rPr>
                <w:rFonts w:ascii="Cambria" w:hAnsi="Cambria"/>
                <w:sz w:val="20"/>
                <w:szCs w:val="20"/>
              </w:rPr>
            </w:pPr>
          </w:p>
        </w:tc>
        <w:tc>
          <w:tcPr>
            <w:tcW w:w="2694" w:type="dxa"/>
            <w:shd w:val="clear" w:color="auto" w:fill="auto"/>
            <w:vAlign w:val="center"/>
          </w:tcPr>
          <w:p w14:paraId="7196415F">
            <w:pPr>
              <w:spacing w:after="0" w:line="240" w:lineRule="auto"/>
              <w:rPr>
                <w:rFonts w:ascii="Cambria" w:hAnsi="Cambria"/>
                <w:sz w:val="20"/>
                <w:szCs w:val="20"/>
              </w:rPr>
            </w:pPr>
          </w:p>
        </w:tc>
      </w:tr>
      <w:tr w14:paraId="17F4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vAlign w:val="center"/>
          </w:tcPr>
          <w:p w14:paraId="1B6F4D48">
            <w:pPr>
              <w:spacing w:after="0" w:line="240" w:lineRule="auto"/>
              <w:rPr>
                <w:rFonts w:ascii="Cambria" w:hAnsi="Cambria"/>
                <w:sz w:val="20"/>
                <w:szCs w:val="20"/>
              </w:rPr>
            </w:pPr>
            <w:r>
              <w:rPr>
                <w:rFonts w:ascii="Cambria" w:hAnsi="Cambria"/>
                <w:sz w:val="20"/>
                <w:szCs w:val="20"/>
              </w:rPr>
              <w:t>10.6 Standard minim de performanță</w:t>
            </w:r>
          </w:p>
        </w:tc>
      </w:tr>
      <w:tr w14:paraId="6CA5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tcPr>
          <w:p w14:paraId="0D526146">
            <w:pPr>
              <w:numPr>
                <w:ilvl w:val="0"/>
                <w:numId w:val="0"/>
              </w:numPr>
              <w:spacing w:before="120" w:after="0" w:line="240" w:lineRule="auto"/>
              <w:rPr>
                <w:rFonts w:hint="default" w:ascii="Cambria" w:hAnsi="Cambria"/>
                <w:sz w:val="20"/>
                <w:szCs w:val="20"/>
              </w:rPr>
            </w:pPr>
            <w:r>
              <w:rPr>
                <w:rFonts w:hint="default" w:ascii="Cambria" w:hAnsi="Cambria"/>
                <w:sz w:val="20"/>
                <w:szCs w:val="20"/>
              </w:rPr>
              <w:t>Pentru a promova disciplina, studentul trebuie să demonstreze:</w:t>
            </w:r>
          </w:p>
          <w:p w14:paraId="46AB2C39">
            <w:pPr>
              <w:numPr>
                <w:ilvl w:val="0"/>
                <w:numId w:val="6"/>
              </w:numPr>
              <w:spacing w:before="120" w:after="0" w:line="240" w:lineRule="auto"/>
              <w:rPr>
                <w:rFonts w:hint="default" w:ascii="Cambria" w:hAnsi="Cambria"/>
                <w:sz w:val="20"/>
                <w:szCs w:val="20"/>
              </w:rPr>
            </w:pPr>
            <w:r>
              <w:rPr>
                <w:rFonts w:hint="default" w:ascii="Cambria" w:hAnsi="Cambria"/>
                <w:sz w:val="20"/>
                <w:szCs w:val="20"/>
              </w:rPr>
              <w:t>Achiziții teoretice: să explice corect conceptele fundamentale ale adaptării (structura dramatică, categorii de adaptare) și să analizeze un text literar identificând elementele dramatizabile.</w:t>
            </w:r>
          </w:p>
          <w:p w14:paraId="5A86422C">
            <w:pPr>
              <w:numPr>
                <w:ilvl w:val="0"/>
                <w:numId w:val="6"/>
              </w:numPr>
              <w:spacing w:before="120" w:after="0" w:line="240" w:lineRule="auto"/>
              <w:ind w:left="0" w:leftChars="0" w:firstLine="0" w:firstLineChars="0"/>
              <w:rPr>
                <w:rFonts w:hint="default" w:ascii="Cambria" w:hAnsi="Cambria"/>
                <w:sz w:val="20"/>
                <w:szCs w:val="20"/>
              </w:rPr>
            </w:pPr>
            <w:r>
              <w:rPr>
                <w:rFonts w:hint="default" w:ascii="Cambria" w:hAnsi="Cambria"/>
                <w:sz w:val="20"/>
                <w:szCs w:val="20"/>
              </w:rPr>
              <w:t>Aptitudini practice: să elaboreze o scenă adaptată dintr-un text narativ sau poetic, respectând structura dramatică și principiile discutate la curs, și să producă un draft de scenariu coerent.</w:t>
            </w:r>
          </w:p>
          <w:p w14:paraId="666FB993">
            <w:pPr>
              <w:numPr>
                <w:ilvl w:val="0"/>
                <w:numId w:val="6"/>
              </w:numPr>
              <w:spacing w:before="120" w:after="0" w:line="240" w:lineRule="auto"/>
              <w:ind w:left="0" w:leftChars="0" w:firstLine="0" w:firstLineChars="0"/>
              <w:rPr>
                <w:rFonts w:hint="default" w:ascii="Cambria" w:hAnsi="Cambria"/>
                <w:sz w:val="20"/>
                <w:szCs w:val="20"/>
              </w:rPr>
            </w:pPr>
            <w:r>
              <w:rPr>
                <w:rFonts w:hint="default" w:ascii="Cambria" w:hAnsi="Cambria"/>
                <w:sz w:val="20"/>
                <w:szCs w:val="20"/>
              </w:rPr>
              <w:t>Portofoliu complet: să predea un „caiet de regie” care să includă analiza textului sursă, fișele de lucru, schițele regizorale, sinopsisul proiectului și reflecțiile personale asupra procesului de dramatizare.</w:t>
            </w:r>
          </w:p>
          <w:p w14:paraId="71A7865A">
            <w:pPr>
              <w:numPr>
                <w:ilvl w:val="0"/>
                <w:numId w:val="0"/>
              </w:numPr>
              <w:spacing w:before="120" w:after="0" w:line="240" w:lineRule="auto"/>
              <w:rPr>
                <w:rFonts w:hint="default" w:ascii="Cambria" w:hAnsi="Cambria"/>
                <w:sz w:val="20"/>
                <w:szCs w:val="20"/>
              </w:rPr>
            </w:pPr>
          </w:p>
          <w:p w14:paraId="19C84765">
            <w:pPr>
              <w:numPr>
                <w:ilvl w:val="0"/>
                <w:numId w:val="0"/>
              </w:numPr>
              <w:spacing w:before="120" w:after="0" w:line="240" w:lineRule="auto"/>
              <w:rPr>
                <w:rFonts w:ascii="Cambria" w:hAnsi="Cambria"/>
                <w:sz w:val="20"/>
                <w:szCs w:val="20"/>
              </w:rPr>
            </w:pPr>
            <w:r>
              <w:rPr>
                <w:rFonts w:hint="default" w:ascii="Cambria" w:hAnsi="Cambria"/>
                <w:sz w:val="20"/>
                <w:szCs w:val="20"/>
              </w:rPr>
              <w:t>Neîndeplinirea oricăruia dintre aceste criterii (de exemplu, absența portofoliului sau imposibilitatea de a susține un proiect practic coerent) conduce la nepromovarea disciplinei.</w:t>
            </w:r>
          </w:p>
          <w:p w14:paraId="3367B147">
            <w:pPr>
              <w:spacing w:after="0" w:line="240" w:lineRule="auto"/>
              <w:rPr>
                <w:rFonts w:ascii="Cambria" w:hAnsi="Cambria"/>
                <w:sz w:val="20"/>
                <w:szCs w:val="20"/>
              </w:rPr>
            </w:pPr>
          </w:p>
          <w:p w14:paraId="2C08C47D">
            <w:pPr>
              <w:spacing w:after="0" w:line="240" w:lineRule="auto"/>
              <w:rPr>
                <w:rFonts w:ascii="Cambria" w:hAnsi="Cambria"/>
                <w:sz w:val="20"/>
                <w:szCs w:val="20"/>
              </w:rPr>
            </w:pPr>
          </w:p>
          <w:p w14:paraId="6766C520">
            <w:pPr>
              <w:spacing w:after="0" w:line="240" w:lineRule="auto"/>
              <w:rPr>
                <w:rFonts w:ascii="Cambria" w:hAnsi="Cambria"/>
                <w:sz w:val="20"/>
                <w:szCs w:val="20"/>
              </w:rPr>
            </w:pPr>
          </w:p>
        </w:tc>
      </w:tr>
    </w:tbl>
    <w:p w14:paraId="67C01178">
      <w:pPr>
        <w:rPr>
          <w:rFonts w:ascii="Cambria" w:hAnsi="Cambria"/>
          <w:sz w:val="20"/>
          <w:szCs w:val="20"/>
        </w:rPr>
      </w:pPr>
    </w:p>
    <w:p w14:paraId="743AF553">
      <w:pPr>
        <w:rPr>
          <w:rFonts w:ascii="Cambria" w:hAnsi="Cambria"/>
          <w:sz w:val="20"/>
          <w:szCs w:val="20"/>
        </w:rPr>
      </w:pPr>
    </w:p>
    <w:p w14:paraId="0D47838B">
      <w:pPr>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14"/>
          <w:rFonts w:ascii="Cambria" w:hAnsi="Cambria"/>
          <w:b/>
          <w:sz w:val="20"/>
          <w:szCs w:val="20"/>
        </w:rPr>
        <w:footnoteReference w:id="0"/>
      </w:r>
    </w:p>
    <w:tbl>
      <w:tblPr>
        <w:tblStyle w:val="20"/>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6"/>
        <w:gridCol w:w="1166"/>
        <w:gridCol w:w="1165"/>
        <w:gridCol w:w="1166"/>
        <w:gridCol w:w="1166"/>
        <w:gridCol w:w="1165"/>
        <w:gridCol w:w="1166"/>
        <w:gridCol w:w="1166"/>
      </w:tblGrid>
      <w:tr w14:paraId="11B3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1165" w:type="dxa"/>
            <w:vAlign w:val="center"/>
          </w:tcPr>
          <w:p w14:paraId="029BE5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anchor distT="0" distB="0" distL="114300" distR="114300" simplePos="0" relativeHeight="251659264" behindDoc="0" locked="0" layoutInCell="1" allowOverlap="1">
                  <wp:simplePos x="0" y="0"/>
                  <wp:positionH relativeFrom="column">
                    <wp:posOffset>13970</wp:posOffset>
                  </wp:positionH>
                  <wp:positionV relativeFrom="paragraph">
                    <wp:posOffset>34925</wp:posOffset>
                  </wp:positionV>
                  <wp:extent cx="615950" cy="611505"/>
                  <wp:effectExtent l="0" t="0" r="0" b="0"/>
                  <wp:wrapNone/>
                  <wp:docPr id="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5950" cy="611505"/>
                          </a:xfrm>
                          <a:prstGeom prst="rect">
                            <a:avLst/>
                          </a:prstGeom>
                          <a:noFill/>
                        </pic:spPr>
                      </pic:pic>
                    </a:graphicData>
                  </a:graphic>
                </wp:anchor>
              </w:drawing>
            </w:r>
          </w:p>
        </w:tc>
        <w:tc>
          <w:tcPr>
            <w:tcW w:w="9326" w:type="dxa"/>
            <w:gridSpan w:val="8"/>
            <w:vAlign w:val="center"/>
          </w:tcPr>
          <w:p w14:paraId="5741C871">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Eticheta generală pentru Dezvoltare durabilă</w:t>
            </w:r>
          </w:p>
        </w:tc>
      </w:tr>
      <w:tr w14:paraId="3DEF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2DC7B7F0">
            <w:pPr>
              <w:spacing w:after="0" w:line="240" w:lineRule="auto"/>
              <w:ind w:right="-537"/>
              <w:rPr>
                <w:rFonts w:ascii="Cambria" w:hAnsi="Cambria" w:eastAsia="Calibri" w:cs="Times New Roman"/>
                <w:kern w:val="0"/>
                <w:sz w:val="20"/>
                <w:szCs w:val="20"/>
                <w:lang w:eastAsia="ro-RO"/>
                <w14:ligatures w14:val="none"/>
              </w:rPr>
            </w:pPr>
          </w:p>
        </w:tc>
        <w:tc>
          <w:tcPr>
            <w:tcW w:w="1166" w:type="dxa"/>
            <w:vAlign w:val="center"/>
          </w:tcPr>
          <w:p w14:paraId="61E84881">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732604C">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52A4F882">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00710" cy="611505"/>
                  <wp:effectExtent l="0" t="0" r="8890" b="0"/>
                  <wp:docPr id="15" name="Imagine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3725" cy="611505"/>
                  <wp:effectExtent l="0" t="0" r="0" b="0"/>
                  <wp:docPr id="16" name="Imagine 15"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423B32E2">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741BDDBE">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6C16B37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25475" cy="611505"/>
                  <wp:effectExtent l="0" t="0" r="3175" b="0"/>
                  <wp:docPr id="11" name="Imagine 10"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14:paraId="0721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303421C5">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9440" cy="611505"/>
                  <wp:effectExtent l="0" t="0" r="0" b="0"/>
                  <wp:docPr id="12" name="Imagine 11"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66784A8">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4995" cy="611505"/>
                  <wp:effectExtent l="0" t="0" r="0" b="0"/>
                  <wp:docPr id="7" name="Imagine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8729EAA">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03DB388">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7A1D1EBA">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13410" cy="611505"/>
                  <wp:effectExtent l="0" t="0" r="0" b="0"/>
                  <wp:docPr id="33" name="Imagine 3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6900" cy="611505"/>
                  <wp:effectExtent l="0" t="0" r="0" b="0"/>
                  <wp:docPr id="35" name="Imagine 34"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pPr>
              <w:spacing w:after="0" w:line="240" w:lineRule="auto"/>
              <w:rPr>
                <w:rFonts w:ascii="Cambria" w:hAnsi="Cambria" w:eastAsia="Calibri" w:cs="Times New Roman"/>
                <w:kern w:val="0"/>
                <w:sz w:val="20"/>
                <w:szCs w:val="20"/>
                <w:lang w:eastAsia="ro-RO"/>
                <w14:ligatures w14:val="none"/>
              </w:rPr>
            </w:pPr>
          </w:p>
        </w:tc>
      </w:tr>
    </w:tbl>
    <w:p w14:paraId="74CA3B07">
      <w:pPr>
        <w:rPr>
          <w:rFonts w:ascii="Cambria" w:hAnsi="Cambria"/>
          <w:sz w:val="20"/>
          <w:szCs w:val="20"/>
        </w:rPr>
      </w:pPr>
    </w:p>
    <w:p w14:paraId="130C6DD3">
      <w:pPr>
        <w:rPr>
          <w:rFonts w:ascii="Cambria" w:hAnsi="Cambria"/>
          <w:sz w:val="20"/>
          <w:szCs w:val="20"/>
        </w:rPr>
      </w:pPr>
    </w:p>
    <w:p w14:paraId="0DA9B19F">
      <w:pPr>
        <w:rPr>
          <w:rFonts w:ascii="Cambria" w:hAnsi="Cambria"/>
          <w:sz w:val="20"/>
          <w:szCs w:val="20"/>
        </w:rPr>
      </w:pPr>
    </w:p>
    <w:tbl>
      <w:tblPr>
        <w:tblStyle w:val="20"/>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3"/>
        <w:gridCol w:w="2835"/>
        <w:gridCol w:w="1134"/>
        <w:gridCol w:w="3969"/>
      </w:tblGrid>
      <w:tr w14:paraId="2195F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553" w:type="dxa"/>
          </w:tcPr>
          <w:p w14:paraId="7D7E40B9">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completării:</w:t>
            </w:r>
          </w:p>
          <w:p w14:paraId="6F85EC4B">
            <w:pPr>
              <w:spacing w:after="0" w:line="240" w:lineRule="auto"/>
              <w:rPr>
                <w:rFonts w:hint="default" w:ascii="Cambria" w:hAnsi="Cambria" w:eastAsia="Calibri" w:cs="Times New Roman"/>
                <w:kern w:val="0"/>
                <w:sz w:val="20"/>
                <w:szCs w:val="20"/>
                <w:lang w:val="en-US" w:eastAsia="ro-RO"/>
                <w14:ligatures w14:val="none"/>
              </w:rPr>
            </w:pPr>
            <w:r>
              <w:rPr>
                <w:rFonts w:hint="default" w:ascii="Cambria" w:hAnsi="Cambria" w:eastAsia="Calibri" w:cs="Times New Roman"/>
                <w:kern w:val="0"/>
                <w:sz w:val="20"/>
                <w:szCs w:val="20"/>
                <w:lang w:val="en-US" w:eastAsia="ro-RO"/>
                <w14:ligatures w14:val="none"/>
              </w:rPr>
              <w:t>06.11.2025</w:t>
            </w:r>
          </w:p>
        </w:tc>
        <w:tc>
          <w:tcPr>
            <w:tcW w:w="3969" w:type="dxa"/>
            <w:gridSpan w:val="2"/>
            <w:vAlign w:val="center"/>
          </w:tcPr>
          <w:p w14:paraId="7FC6F972">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titularului de curs</w:t>
            </w:r>
          </w:p>
          <w:p w14:paraId="0F5C8287">
            <w:pPr>
              <w:spacing w:after="0" w:line="480" w:lineRule="auto"/>
              <w:jc w:val="center"/>
              <w:rPr>
                <w:rFonts w:ascii="Cambria" w:hAnsi="Cambria" w:eastAsia="Calibri" w:cs="Times New Roman"/>
                <w:kern w:val="0"/>
                <w:sz w:val="20"/>
                <w:szCs w:val="20"/>
                <w:lang w:eastAsia="ro-RO"/>
                <w14:ligatures w14:val="none"/>
              </w:rPr>
            </w:pPr>
            <w:r>
              <w:drawing>
                <wp:inline distT="0" distB="0" distL="114300" distR="114300">
                  <wp:extent cx="1292225" cy="1021080"/>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1292225" cy="1021080"/>
                          </a:xfrm>
                          <a:prstGeom prst="rect">
                            <a:avLst/>
                          </a:prstGeom>
                          <a:noFill/>
                          <a:ln>
                            <a:noFill/>
                          </a:ln>
                        </pic:spPr>
                      </pic:pic>
                    </a:graphicData>
                  </a:graphic>
                </wp:inline>
              </w:drawing>
            </w:r>
          </w:p>
        </w:tc>
        <w:tc>
          <w:tcPr>
            <w:tcW w:w="3969" w:type="dxa"/>
            <w:vAlign w:val="center"/>
          </w:tcPr>
          <w:p w14:paraId="6B082F1C">
            <w:pPr>
              <w:spacing w:after="0" w:line="480" w:lineRule="auto"/>
              <w:jc w:val="center"/>
              <w:rPr>
                <w:rFonts w:ascii="Cambria" w:hAnsi="Cambria" w:eastAsia="Calibri" w:cs="Times New Roman"/>
                <w:kern w:val="0"/>
                <w:sz w:val="20"/>
                <w:szCs w:val="20"/>
                <w:lang w:eastAsia="ro-RO"/>
                <w14:ligatures w14:val="none"/>
              </w:rPr>
            </w:pPr>
            <w:bookmarkStart w:id="0" w:name="_GoBack"/>
            <w:r>
              <w:drawing>
                <wp:anchor distT="0" distB="0" distL="0" distR="0" simplePos="0" relativeHeight="251660288" behindDoc="1" locked="0" layoutInCell="1" allowOverlap="1">
                  <wp:simplePos x="0" y="0"/>
                  <wp:positionH relativeFrom="page">
                    <wp:posOffset>852805</wp:posOffset>
                  </wp:positionH>
                  <wp:positionV relativeFrom="paragraph">
                    <wp:posOffset>284480</wp:posOffset>
                  </wp:positionV>
                  <wp:extent cx="921385" cy="558165"/>
                  <wp:effectExtent l="0" t="0" r="8255" b="571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5" cstate="print"/>
                          <a:stretch>
                            <a:fillRect/>
                          </a:stretch>
                        </pic:blipFill>
                        <pic:spPr>
                          <a:xfrm>
                            <a:off x="0" y="0"/>
                            <a:ext cx="921385" cy="558165"/>
                          </a:xfrm>
                          <a:prstGeom prst="rect">
                            <a:avLst/>
                          </a:prstGeom>
                        </pic:spPr>
                      </pic:pic>
                    </a:graphicData>
                  </a:graphic>
                </wp:anchor>
              </w:drawing>
            </w:r>
            <w:bookmarkEnd w:id="0"/>
            <w:r>
              <w:rPr>
                <w:rFonts w:ascii="Cambria" w:hAnsi="Cambria" w:eastAsia="Calibri" w:cs="Times New Roman"/>
                <w:kern w:val="0"/>
                <w:sz w:val="20"/>
                <w:szCs w:val="20"/>
                <w:lang w:eastAsia="ro-RO"/>
                <w14:ligatures w14:val="none"/>
              </w:rPr>
              <w:t>Semnătura titularului de seminar</w:t>
            </w:r>
          </w:p>
          <w:p w14:paraId="34043C9C">
            <w:pPr>
              <w:spacing w:after="0" w:line="480" w:lineRule="auto"/>
              <w:jc w:val="center"/>
              <w:rPr>
                <w:rFonts w:ascii="Cambria" w:hAnsi="Cambria" w:eastAsia="Calibri" w:cs="Times New Roman"/>
                <w:kern w:val="0"/>
                <w:sz w:val="20"/>
                <w:szCs w:val="20"/>
                <w:lang w:eastAsia="ro-RO"/>
                <w14:ligatures w14:val="none"/>
              </w:rPr>
            </w:pPr>
          </w:p>
        </w:tc>
      </w:tr>
      <w:tr w14:paraId="2607C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553" w:type="dxa"/>
            <w:vAlign w:val="center"/>
          </w:tcPr>
          <w:p w14:paraId="10DE3FC9">
            <w:pPr>
              <w:spacing w:after="0" w:line="480" w:lineRule="auto"/>
              <w:rPr>
                <w:rFonts w:ascii="Cambria" w:hAnsi="Cambria" w:eastAsia="Calibri" w:cs="Times New Roman"/>
                <w:kern w:val="0"/>
                <w:sz w:val="20"/>
                <w:szCs w:val="20"/>
                <w:lang w:eastAsia="ro-RO"/>
                <w14:ligatures w14:val="none"/>
              </w:rPr>
            </w:pPr>
          </w:p>
        </w:tc>
        <w:tc>
          <w:tcPr>
            <w:tcW w:w="3969" w:type="dxa"/>
            <w:gridSpan w:val="2"/>
            <w:vAlign w:val="center"/>
          </w:tcPr>
          <w:p w14:paraId="3941C289">
            <w:pPr>
              <w:spacing w:after="0" w:line="480" w:lineRule="auto"/>
              <w:rPr>
                <w:rFonts w:ascii="Cambria" w:hAnsi="Cambria" w:eastAsia="Calibri" w:cs="Times New Roman"/>
                <w:kern w:val="0"/>
                <w:sz w:val="20"/>
                <w:szCs w:val="20"/>
                <w:lang w:eastAsia="ro-RO"/>
                <w14:ligatures w14:val="none"/>
              </w:rPr>
            </w:pPr>
          </w:p>
        </w:tc>
        <w:tc>
          <w:tcPr>
            <w:tcW w:w="3969" w:type="dxa"/>
            <w:vAlign w:val="center"/>
          </w:tcPr>
          <w:p w14:paraId="2AD0C44F">
            <w:pPr>
              <w:spacing w:after="0" w:line="480" w:lineRule="auto"/>
              <w:rPr>
                <w:rFonts w:ascii="Cambria" w:hAnsi="Cambria" w:eastAsia="Calibri" w:cs="Times New Roman"/>
                <w:kern w:val="0"/>
                <w:sz w:val="20"/>
                <w:szCs w:val="20"/>
                <w:lang w:eastAsia="ro-RO"/>
                <w14:ligatures w14:val="none"/>
              </w:rPr>
            </w:pPr>
          </w:p>
        </w:tc>
      </w:tr>
      <w:tr w14:paraId="5931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5388" w:type="dxa"/>
            <w:gridSpan w:val="2"/>
          </w:tcPr>
          <w:p w14:paraId="13CC825D">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avizării în departament:</w:t>
            </w:r>
          </w:p>
          <w:p w14:paraId="27B1F6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714DB94C">
            <w:pPr>
              <w:spacing w:after="0" w:line="480" w:lineRule="auto"/>
              <w:rPr>
                <w:rFonts w:ascii="Cambria" w:hAnsi="Cambria" w:eastAsia="Calibri" w:cs="Times New Roman"/>
                <w:kern w:val="0"/>
                <w:sz w:val="20"/>
                <w:szCs w:val="20"/>
                <w:lang w:eastAsia="ro-RO"/>
                <w14:ligatures w14:val="none"/>
              </w:rPr>
            </w:pPr>
          </w:p>
          <w:p w14:paraId="4DCA8C86">
            <w:pPr>
              <w:spacing w:after="0" w:line="480" w:lineRule="auto"/>
              <w:rPr>
                <w:rFonts w:ascii="Cambria" w:hAnsi="Cambria" w:eastAsia="Calibri" w:cs="Times New Roman"/>
                <w:kern w:val="0"/>
                <w:sz w:val="20"/>
                <w:szCs w:val="20"/>
                <w:lang w:eastAsia="ro-RO"/>
                <w14:ligatures w14:val="none"/>
              </w:rPr>
            </w:pPr>
          </w:p>
        </w:tc>
        <w:tc>
          <w:tcPr>
            <w:tcW w:w="5103" w:type="dxa"/>
            <w:gridSpan w:val="2"/>
            <w:vAlign w:val="center"/>
          </w:tcPr>
          <w:p w14:paraId="6E7DCA84">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directorului de departament</w:t>
            </w:r>
          </w:p>
          <w:p w14:paraId="6ACF21FC">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2757C074">
            <w:pPr>
              <w:spacing w:after="0" w:line="480" w:lineRule="auto"/>
              <w:jc w:val="center"/>
              <w:rPr>
                <w:rFonts w:ascii="Cambria" w:hAnsi="Cambria" w:eastAsia="Calibri" w:cs="Times New Roman"/>
                <w:kern w:val="0"/>
                <w:sz w:val="20"/>
                <w:szCs w:val="20"/>
                <w:lang w:eastAsia="ro-RO"/>
                <w14:ligatures w14:val="none"/>
              </w:rPr>
            </w:pPr>
          </w:p>
          <w:p w14:paraId="6C7ED803">
            <w:pPr>
              <w:spacing w:after="0" w:line="480" w:lineRule="auto"/>
              <w:jc w:val="center"/>
              <w:rPr>
                <w:rFonts w:ascii="Cambria" w:hAnsi="Cambria" w:eastAsia="Calibri" w:cs="Times New Roman"/>
                <w:kern w:val="0"/>
                <w:sz w:val="20"/>
                <w:szCs w:val="20"/>
                <w:lang w:eastAsia="ro-RO"/>
                <w14:ligatures w14:val="none"/>
              </w:rPr>
            </w:pPr>
          </w:p>
        </w:tc>
      </w:tr>
    </w:tbl>
    <w:p w14:paraId="7C12396E">
      <w:pPr>
        <w:rPr>
          <w:rFonts w:ascii="Cambria" w:hAnsi="Cambria"/>
          <w:sz w:val="20"/>
          <w:szCs w:val="20"/>
        </w:rPr>
      </w:pPr>
    </w:p>
    <w:sectPr>
      <w:pgSz w:w="11907" w:h="16840"/>
      <w:pgMar w:top="1134"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8" w:lineRule="auto"/>
      </w:pPr>
      <w:r>
        <w:separator/>
      </w:r>
    </w:p>
  </w:footnote>
  <w:footnote w:type="continuationSeparator" w:id="3">
    <w:p>
      <w:pPr>
        <w:spacing w:before="0" w:after="0" w:line="278" w:lineRule="auto"/>
      </w:pPr>
      <w:r>
        <w:continuationSeparator/>
      </w:r>
    </w:p>
  </w:footnote>
  <w:footnote w:id="0">
    <w:p w14:paraId="3806BD12">
      <w:pPr>
        <w:pStyle w:val="15"/>
        <w:jc w:val="both"/>
        <w:rPr>
          <w:rFonts w:ascii="Cambria" w:hAnsi="Cambria"/>
        </w:rPr>
      </w:pPr>
      <w:r>
        <w:rPr>
          <w:rStyle w:val="14"/>
          <w:rFonts w:ascii="Cambria" w:hAnsi="Cambria"/>
        </w:rPr>
        <w:footnoteRef/>
      </w:r>
      <w:r>
        <w:rPr>
          <w:rFonts w:ascii="Cambria" w:hAnsi="Cambria"/>
        </w:rPr>
        <w:t xml:space="preserve"> Păstrați doar etichetele care, în conformitate cu </w:t>
      </w:r>
      <w:r>
        <w:fldChar w:fldCharType="begin"/>
      </w:r>
      <w:r>
        <w:instrText xml:space="preserve"> HYPERLINK "https://green.ubbcluj.ro/procedura-de-aplicare-a-etichetelor-odd/" </w:instrText>
      </w:r>
      <w:r>
        <w:fldChar w:fldCharType="separate"/>
      </w:r>
      <w:r>
        <w:rPr>
          <w:rStyle w:val="16"/>
          <w:rFonts w:ascii="Cambria" w:hAnsi="Cambria"/>
          <w:i/>
          <w:iCs/>
        </w:rPr>
        <w:t>Procedura de aplicare a etichetelor ODD în procesul academic</w:t>
      </w:r>
      <w:r>
        <w:rPr>
          <w:rStyle w:val="16"/>
          <w:rFonts w:ascii="Cambria" w:hAnsi="Cambria"/>
          <w:i/>
          <w:iCs/>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074F1"/>
    <w:multiLevelType w:val="singleLevel"/>
    <w:tmpl w:val="831074F1"/>
    <w:lvl w:ilvl="0" w:tentative="0">
      <w:start w:val="1"/>
      <w:numFmt w:val="decimal"/>
      <w:suff w:val="space"/>
      <w:lvlText w:val="%1."/>
      <w:lvlJc w:val="left"/>
    </w:lvl>
  </w:abstractNum>
  <w:abstractNum w:abstractNumId="1">
    <w:nsid w:val="B023C475"/>
    <w:multiLevelType w:val="singleLevel"/>
    <w:tmpl w:val="B023C475"/>
    <w:lvl w:ilvl="0" w:tentative="0">
      <w:start w:val="1"/>
      <w:numFmt w:val="decimal"/>
      <w:suff w:val="space"/>
      <w:lvlText w:val="%1."/>
      <w:lvlJc w:val="left"/>
    </w:lvl>
  </w:abstractNum>
  <w:abstractNum w:abstractNumId="2">
    <w:nsid w:val="C2A5A501"/>
    <w:multiLevelType w:val="singleLevel"/>
    <w:tmpl w:val="C2A5A501"/>
    <w:lvl w:ilvl="0" w:tentative="0">
      <w:start w:val="2"/>
      <w:numFmt w:val="decimal"/>
      <w:suff w:val="space"/>
      <w:lvlText w:val="%1."/>
      <w:lvlJc w:val="left"/>
    </w:lvl>
  </w:abstractNum>
  <w:abstractNum w:abstractNumId="3">
    <w:nsid w:val="F5DD1F8F"/>
    <w:multiLevelType w:val="singleLevel"/>
    <w:tmpl w:val="F5DD1F8F"/>
    <w:lvl w:ilvl="0" w:tentative="0">
      <w:start w:val="1"/>
      <w:numFmt w:val="decimal"/>
      <w:suff w:val="space"/>
      <w:lvlText w:val="%1."/>
      <w:lvlJc w:val="left"/>
    </w:lvl>
  </w:abstractNum>
  <w:abstractNum w:abstractNumId="4">
    <w:nsid w:val="38DC1A01"/>
    <w:multiLevelType w:val="singleLevel"/>
    <w:tmpl w:val="38DC1A01"/>
    <w:lvl w:ilvl="0" w:tentative="0">
      <w:start w:val="2"/>
      <w:numFmt w:val="decimal"/>
      <w:suff w:val="space"/>
      <w:lvlText w:val="%1."/>
      <w:lvlJc w:val="left"/>
    </w:lvl>
  </w:abstractNum>
  <w:abstractNum w:abstractNumId="5">
    <w:nsid w:val="707E710E"/>
    <w:multiLevelType w:val="multilevel"/>
    <w:tmpl w:val="707E7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2"/>
    <w:footnote w:id="3"/>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 w:val="678D75EB"/>
    <w:rsid w:val="73661F78"/>
    <w:rsid w:val="76C82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ro-RO" w:eastAsia="en-US" w:bidi="ar-SA"/>
      <w14:ligatures w14:val="standardContextual"/>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4"/>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5"/>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6"/>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7"/>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character" w:styleId="14">
    <w:name w:val="footnote reference"/>
    <w:semiHidden/>
    <w:unhideWhenUsed/>
    <w:qFormat/>
    <w:uiPriority w:val="99"/>
    <w:rPr>
      <w:vertAlign w:val="superscript"/>
    </w:rPr>
  </w:style>
  <w:style w:type="paragraph" w:styleId="15">
    <w:name w:val="footnote text"/>
    <w:basedOn w:val="1"/>
    <w:link w:val="40"/>
    <w:semiHidden/>
    <w:unhideWhenUsed/>
    <w:uiPriority w:val="99"/>
    <w:pPr>
      <w:spacing w:after="200" w:line="276" w:lineRule="auto"/>
    </w:pPr>
    <w:rPr>
      <w:rFonts w:ascii="Calibri" w:hAnsi="Calibri" w:eastAsia="Calibri" w:cs="Times New Roman"/>
      <w:kern w:val="0"/>
      <w:sz w:val="20"/>
      <w:szCs w:val="20"/>
      <w14:ligatures w14:val="none"/>
    </w:rPr>
  </w:style>
  <w:style w:type="character" w:styleId="16">
    <w:name w:val="Hyperlink"/>
    <w:basedOn w:val="11"/>
    <w:unhideWhenUsed/>
    <w:qFormat/>
    <w:uiPriority w:val="99"/>
    <w:rPr>
      <w:color w:val="467886" w:themeColor="hyperlink"/>
      <w:u w:val="single"/>
      <w14:textFill>
        <w14:solidFill>
          <w14:schemeClr w14:val="hlink"/>
        </w14:solidFill>
      </w14:textFill>
    </w:rPr>
  </w:style>
  <w:style w:type="paragraph" w:styleId="1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8">
    <w:name w:val="Strong"/>
    <w:basedOn w:val="11"/>
    <w:qFormat/>
    <w:uiPriority w:val="22"/>
    <w:rPr>
      <w:b/>
      <w:bCs/>
    </w:rPr>
  </w:style>
  <w:style w:type="paragraph" w:styleId="19">
    <w:name w:val="Subtitle"/>
    <w:basedOn w:val="1"/>
    <w:next w:val="1"/>
    <w:link w:val="3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99"/>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1"/>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2">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23">
    <w:name w:val="Heading 2 Char"/>
    <w:basedOn w:val="11"/>
    <w:link w:val="3"/>
    <w:semiHidden/>
    <w:uiPriority w:val="9"/>
    <w:rPr>
      <w:rFonts w:asciiTheme="majorHAnsi" w:hAnsiTheme="majorHAnsi" w:eastAsiaTheme="majorEastAsia" w:cstheme="majorBidi"/>
      <w:color w:val="104862" w:themeColor="accent1" w:themeShade="BF"/>
      <w:sz w:val="32"/>
      <w:szCs w:val="32"/>
    </w:rPr>
  </w:style>
  <w:style w:type="character" w:customStyle="1" w:styleId="24">
    <w:name w:val="Heading 3 Char"/>
    <w:basedOn w:val="11"/>
    <w:link w:val="4"/>
    <w:semiHidden/>
    <w:uiPriority w:val="9"/>
    <w:rPr>
      <w:rFonts w:eastAsiaTheme="majorEastAsia" w:cstheme="majorBidi"/>
      <w:color w:val="104862" w:themeColor="accent1" w:themeShade="BF"/>
      <w:sz w:val="28"/>
      <w:szCs w:val="28"/>
    </w:rPr>
  </w:style>
  <w:style w:type="character" w:customStyle="1" w:styleId="25">
    <w:name w:val="Heading 4 Char"/>
    <w:basedOn w:val="11"/>
    <w:link w:val="5"/>
    <w:semiHidden/>
    <w:uiPriority w:val="9"/>
    <w:rPr>
      <w:rFonts w:eastAsiaTheme="majorEastAsia" w:cstheme="majorBidi"/>
      <w:i/>
      <w:iCs/>
      <w:color w:val="104862" w:themeColor="accent1" w:themeShade="BF"/>
    </w:rPr>
  </w:style>
  <w:style w:type="character" w:customStyle="1" w:styleId="26">
    <w:name w:val="Heading 5 Char"/>
    <w:basedOn w:val="11"/>
    <w:link w:val="6"/>
    <w:semiHidden/>
    <w:uiPriority w:val="9"/>
    <w:rPr>
      <w:rFonts w:eastAsiaTheme="majorEastAsia" w:cstheme="majorBidi"/>
      <w:color w:val="104862" w:themeColor="accent1" w:themeShade="BF"/>
    </w:rPr>
  </w:style>
  <w:style w:type="character" w:customStyle="1" w:styleId="27">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uiPriority w:val="10"/>
    <w:rPr>
      <w:rFonts w:asciiTheme="majorHAnsi" w:hAnsiTheme="majorHAnsi" w:eastAsiaTheme="majorEastAsia" w:cstheme="majorBidi"/>
      <w:spacing w:val="-10"/>
      <w:kern w:val="28"/>
      <w:sz w:val="56"/>
      <w:szCs w:val="56"/>
    </w:rPr>
  </w:style>
  <w:style w:type="character" w:customStyle="1" w:styleId="32">
    <w:name w:val="Subtitle Char"/>
    <w:basedOn w:val="11"/>
    <w:link w:val="19"/>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Quote Char"/>
    <w:basedOn w:val="11"/>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11"/>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Intense Quote Char"/>
    <w:basedOn w:val="11"/>
    <w:link w:val="37"/>
    <w:uiPriority w:val="30"/>
    <w:rPr>
      <w:i/>
      <w:iCs/>
      <w:color w:val="104862" w:themeColor="accent1" w:themeShade="BF"/>
    </w:rPr>
  </w:style>
  <w:style w:type="character" w:customStyle="1" w:styleId="39">
    <w:name w:val="Intense Reference"/>
    <w:basedOn w:val="11"/>
    <w:qFormat/>
    <w:uiPriority w:val="32"/>
    <w:rPr>
      <w:b/>
      <w:bCs/>
      <w:smallCaps/>
      <w:color w:val="104862" w:themeColor="accent1" w:themeShade="BF"/>
      <w:spacing w:val="5"/>
    </w:rPr>
  </w:style>
  <w:style w:type="character" w:customStyle="1" w:styleId="40">
    <w:name w:val="Footnote Text Char"/>
    <w:basedOn w:val="11"/>
    <w:link w:val="15"/>
    <w:semiHidden/>
    <w:qFormat/>
    <w:uiPriority w:val="99"/>
    <w:rPr>
      <w:rFonts w:ascii="Calibri" w:hAnsi="Calibri" w:eastAsia="Calibri" w:cs="Times New Roman"/>
      <w:kern w:val="0"/>
      <w:sz w:val="20"/>
      <w:szCs w:val="20"/>
      <w:lang w:val="ro-RO"/>
      <w14:ligatures w14:val="none"/>
    </w:rPr>
  </w:style>
  <w:style w:type="character" w:customStyle="1" w:styleId="41">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502D2-C606-4204-8575-123567E28842}">
  <ds:schemaRefs/>
</ds:datastoreItem>
</file>

<file path=customXml/itemProps2.xml><?xml version="1.0" encoding="utf-8"?>
<ds:datastoreItem xmlns:ds="http://schemas.openxmlformats.org/officeDocument/2006/customXml" ds:itemID="{AC5EA9A6-3DFB-490F-B407-6278576BD15B}">
  <ds:schemaRefs/>
</ds:datastoreItem>
</file>

<file path=customXml/itemProps3.xml><?xml version="1.0" encoding="utf-8"?>
<ds:datastoreItem xmlns:ds="http://schemas.openxmlformats.org/officeDocument/2006/customXml" ds:itemID="{D5751E07-FEA2-452A-9F67-9A6A692647F4}">
  <ds:schemaRefs/>
</ds:datastoreItem>
</file>

<file path=customXml/itemProps4.xml><?xml version="1.0" encoding="utf-8"?>
<ds:datastoreItem xmlns:ds="http://schemas.openxmlformats.org/officeDocument/2006/customXml" ds:itemID="{E4D0E14E-8BE7-42CA-AB5D-3494E3BDC854}">
  <ds:schemaRefs/>
</ds:datastoreItem>
</file>

<file path=docProps/app.xml><?xml version="1.0" encoding="utf-8"?>
<Properties xmlns="http://schemas.openxmlformats.org/officeDocument/2006/extended-properties" xmlns:vt="http://schemas.openxmlformats.org/officeDocument/2006/docPropsVTypes">
  <Template>Normal</Template>
  <Pages>6</Pages>
  <TotalTime>0</TotalTime>
  <ScaleCrop>false</ScaleCrop>
  <LinksUpToDate>false</LinksUpToDate>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2024-11-08T09:11:00Z</dcterms:created>
  <dc:creator>Patricia-Georgiana Rechisan</dc:creator>
  <cp:lastModifiedBy>gliga</cp:lastModifiedBy>
  <dcterms:modified xsi:type="dcterms:W3CDTF">2025-11-10T07:44:26Z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KSOProductBuildVer">
    <vt:lpwstr>1033-12.2.0.22549</vt:lpwstr>
  </property>
  <property fmtid="{D5CDD505-2E9C-101B-9397-08002B2CF9AE}" pid="4" name="ICV">
    <vt:lpwstr>579AF5A879C04F71AA47991C9385BC8C_12</vt:lpwstr>
  </property>
</Properties>
</file>